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360C" w:rsidRDefault="00B6360C" w:rsidP="00F2093A">
      <w:pPr>
        <w:ind w:left="142" w:right="141" w:hanging="142"/>
      </w:pPr>
    </w:p>
    <w:p w:rsidR="005647D2" w:rsidRDefault="005647D2"/>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9"/>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793698">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1261E" w:rsidRDefault="0091261E" w:rsidP="0091261E">
      <w:pPr>
        <w:jc w:val="center"/>
        <w:rPr>
          <w:rFonts w:ascii="Eras Medium ITC" w:hAnsi="Eras Medium ITC" w:cs="Arial"/>
          <w:b/>
        </w:rPr>
      </w:pPr>
      <w:r>
        <w:rPr>
          <w:rFonts w:ascii="Eras Medium ITC" w:hAnsi="Eras Medium ITC" w:cs="Arial"/>
          <w:b/>
        </w:rPr>
        <w:t>Appel d’offres ouvert sur offres de prix</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8E6331">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8E6331">
        <w:rPr>
          <w:rFonts w:ascii="Century Gothic" w:hAnsi="Century Gothic" w:cs="Tahoma"/>
          <w:b/>
          <w:bCs/>
          <w:sz w:val="28"/>
          <w:szCs w:val="28"/>
        </w:rPr>
        <w:t>31</w:t>
      </w:r>
      <w:bookmarkStart w:id="0" w:name="_GoBack"/>
      <w:bookmarkEnd w:id="0"/>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9C2BE9">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793698">
      <w:pPr>
        <w:autoSpaceDE w:val="0"/>
        <w:autoSpaceDN w:val="0"/>
        <w:adjustRightInd w:val="0"/>
        <w:spacing w:line="260" w:lineRule="exact"/>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793698" w:rsidRPr="000113F5" w:rsidRDefault="00793698" w:rsidP="00F2093A">
      <w:pPr>
        <w:pStyle w:val="Titre3"/>
        <w:pBdr>
          <w:top w:val="thinThickThinSmallGap" w:sz="24" w:space="1" w:color="auto"/>
          <w:left w:val="thinThickThinSmallGap" w:sz="24" w:space="4" w:color="auto"/>
          <w:bottom w:val="thinThickThinSmallGap" w:sz="24" w:space="1" w:color="auto"/>
          <w:right w:val="thinThickThinSmallGap" w:sz="24" w:space="0" w:color="auto"/>
        </w:pBdr>
        <w:shd w:val="clear" w:color="auto" w:fill="E6E6E6"/>
        <w:jc w:val="center"/>
        <w:rPr>
          <w:rFonts w:ascii="Arial" w:hAnsi="Arial"/>
          <w:sz w:val="32"/>
          <w:szCs w:val="32"/>
        </w:rPr>
      </w:pPr>
      <w:r w:rsidRPr="000113F5">
        <w:rPr>
          <w:rFonts w:ascii="Arial" w:hAnsi="Arial"/>
          <w:sz w:val="32"/>
          <w:szCs w:val="32"/>
        </w:rPr>
        <w:t xml:space="preserve">ACHAT </w:t>
      </w:r>
      <w:r>
        <w:rPr>
          <w:rFonts w:ascii="Arial" w:hAnsi="Arial"/>
          <w:sz w:val="32"/>
          <w:szCs w:val="32"/>
        </w:rPr>
        <w:t xml:space="preserve">D’ARBRES ET DE PLANTES </w:t>
      </w:r>
      <w:r w:rsidR="009349D2">
        <w:rPr>
          <w:rFonts w:ascii="Arial" w:hAnsi="Arial"/>
          <w:sz w:val="32"/>
          <w:szCs w:val="32"/>
        </w:rPr>
        <w:t>« </w:t>
      </w:r>
      <w:r w:rsidRPr="000113F5">
        <w:rPr>
          <w:rFonts w:ascii="Arial" w:hAnsi="Arial"/>
          <w:sz w:val="32"/>
          <w:szCs w:val="32"/>
        </w:rPr>
        <w:t xml:space="preserve">COMMUNE </w:t>
      </w:r>
      <w:r>
        <w:rPr>
          <w:rFonts w:ascii="Arial" w:hAnsi="Arial"/>
          <w:sz w:val="32"/>
          <w:szCs w:val="32"/>
        </w:rPr>
        <w:t>DE SALE</w:t>
      </w:r>
      <w:r w:rsidR="009349D2">
        <w:rPr>
          <w:rFonts w:ascii="Arial" w:hAnsi="Arial"/>
          <w:sz w:val="32"/>
          <w:szCs w:val="32"/>
        </w:rPr>
        <w:t> »</w:t>
      </w:r>
    </w:p>
    <w:p w:rsidR="00793698" w:rsidRPr="0022310B" w:rsidRDefault="00793698" w:rsidP="00F2093A">
      <w:pPr>
        <w:pStyle w:val="Titre3"/>
        <w:pBdr>
          <w:top w:val="thinThickThinSmallGap" w:sz="24" w:space="1" w:color="auto"/>
          <w:left w:val="thinThickThinSmallGap" w:sz="24" w:space="4" w:color="auto"/>
          <w:bottom w:val="thinThickThinSmallGap" w:sz="24" w:space="1" w:color="auto"/>
          <w:right w:val="thinThickThinSmallGap" w:sz="24" w:space="0" w:color="auto"/>
        </w:pBdr>
        <w:shd w:val="clear" w:color="auto" w:fill="E6E6E6"/>
        <w:jc w:val="center"/>
        <w:rPr>
          <w:rFonts w:ascii="Arial" w:hAnsi="Arial"/>
          <w:sz w:val="32"/>
          <w:szCs w:val="32"/>
        </w:rPr>
      </w:pPr>
      <w:r w:rsidRPr="0022310B">
        <w:rPr>
          <w:rFonts w:ascii="Arial" w:hAnsi="Arial"/>
          <w:sz w:val="32"/>
          <w:szCs w:val="32"/>
        </w:rPr>
        <w:t>LOT UNIQUE</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144B8C" w:rsidP="00793698">
      <w:pPr>
        <w:tabs>
          <w:tab w:val="left" w:pos="7650"/>
        </w:tabs>
        <w:spacing w:line="260" w:lineRule="exact"/>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D070CA">
      <w:pPr>
        <w:spacing w:before="40" w:after="40" w:line="280" w:lineRule="exact"/>
        <w:jc w:val="both"/>
        <w:rPr>
          <w:rFonts w:ascii="Century Gothic" w:hAnsi="Century Gothic" w:cs="Tahoma"/>
          <w:b/>
          <w:sz w:val="18"/>
          <w:szCs w:val="18"/>
          <w:u w:val="single"/>
        </w:rPr>
      </w:pPr>
    </w:p>
    <w:p w:rsidR="000063AF" w:rsidRDefault="000063AF" w:rsidP="000063AF">
      <w:pPr>
        <w:ind w:left="426" w:firstLine="426"/>
        <w:jc w:val="both"/>
        <w:rPr>
          <w:rFonts w:ascii="Century Gothic" w:hAnsi="Century Gothic"/>
          <w:b/>
          <w:bCs/>
        </w:rPr>
      </w:pPr>
      <w:r w:rsidRPr="003E02EB">
        <w:rPr>
          <w:rFonts w:ascii="Century Gothic" w:hAnsi="Century Gothic"/>
          <w:b/>
          <w:bCs/>
        </w:rPr>
        <w:t xml:space="preserve">Marché passé par appel d’offre ouvert sur offre de prix en application l’al 2 § 1 de l’article  16 et  § 1 de l’article 17 et al. 3 § 3 de l’article  17  du décret n° 2-12-349 du 8 </w:t>
      </w:r>
      <w:proofErr w:type="spellStart"/>
      <w:r w:rsidRPr="003E02EB">
        <w:rPr>
          <w:rFonts w:ascii="Century Gothic" w:hAnsi="Century Gothic"/>
          <w:b/>
          <w:bCs/>
        </w:rPr>
        <w:t>Joumada</w:t>
      </w:r>
      <w:proofErr w:type="spellEnd"/>
      <w:r w:rsidRPr="003E02EB">
        <w:rPr>
          <w:rFonts w:ascii="Century Gothic" w:hAnsi="Century Gothic"/>
          <w:b/>
          <w:bCs/>
        </w:rPr>
        <w:t xml:space="preserve"> I 1434 (20 Mars 2013) relatif aux marchés publics</w:t>
      </w:r>
    </w:p>
    <w:p w:rsidR="00DD5C05" w:rsidRDefault="00DD5C05" w:rsidP="000063AF">
      <w:pPr>
        <w:ind w:left="426" w:firstLine="426"/>
        <w:jc w:val="both"/>
        <w:rPr>
          <w:rFonts w:ascii="Century Gothic" w:hAnsi="Century Gothic"/>
          <w:b/>
          <w:bCs/>
        </w:rPr>
      </w:pPr>
    </w:p>
    <w:p w:rsidR="00DD5C05" w:rsidRDefault="00DD5C05" w:rsidP="000063AF">
      <w:pPr>
        <w:ind w:left="426" w:firstLine="426"/>
        <w:jc w:val="both"/>
        <w:rPr>
          <w:rFonts w:ascii="Century Gothic" w:hAnsi="Century Gothic"/>
          <w:b/>
          <w:bCs/>
        </w:rPr>
      </w:pPr>
    </w:p>
    <w:p w:rsidR="00DD5C05" w:rsidRPr="003E02EB" w:rsidRDefault="00DD5C05" w:rsidP="000063AF">
      <w:pPr>
        <w:ind w:left="426" w:firstLine="426"/>
        <w:jc w:val="both"/>
        <w:rPr>
          <w:rFonts w:ascii="Century Gothic" w:hAnsi="Century Gothic"/>
          <w:b/>
          <w:bCs/>
        </w:rPr>
      </w:pPr>
    </w:p>
    <w:p w:rsidR="00D05E43" w:rsidRPr="003E02EB" w:rsidRDefault="00D05E43" w:rsidP="005B7246">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6</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7</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18</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19</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004062">
        <w:rPr>
          <w:rFonts w:ascii="Century Gothic" w:hAnsi="Century Gothic" w:cs="Tahoma"/>
          <w:bCs/>
          <w:color w:val="000000"/>
          <w:sz w:val="20"/>
          <w:szCs w:val="20"/>
        </w:rPr>
        <w:t xml:space="preserve">0 </w:t>
      </w:r>
      <w:r w:rsidRPr="003E02EB">
        <w:rPr>
          <w:rFonts w:ascii="Century Gothic" w:hAnsi="Century Gothic" w:cs="Tahoma"/>
          <w:bCs/>
          <w:color w:val="000000"/>
          <w:sz w:val="20"/>
          <w:szCs w:val="20"/>
        </w:rPr>
        <w:t>: PREFERENCE EN FAVEUR DE L’ENTREPRISE NATIONALE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070CA" w:rsidRDefault="00D70BA7" w:rsidP="00D070CA">
      <w:pPr>
        <w:jc w:val="center"/>
        <w:rPr>
          <w:rFonts w:ascii="Century Gothic" w:hAnsi="Century Gothic" w:cs="Tahoma"/>
          <w:sz w:val="20"/>
          <w:szCs w:val="20"/>
        </w:rPr>
      </w:pPr>
      <w:r w:rsidRPr="003E02EB">
        <w:rPr>
          <w:rFonts w:ascii="Century Gothic" w:hAnsi="Century Gothic" w:cs="Tahoma"/>
          <w:sz w:val="20"/>
          <w:szCs w:val="20"/>
        </w:rPr>
        <w:t xml:space="preserve"> Le présent règlement de consultation concerne l’appel d’offre ouvert n° </w:t>
      </w:r>
      <w:r w:rsidR="00235C06">
        <w:rPr>
          <w:rFonts w:ascii="Century Gothic" w:hAnsi="Century Gothic" w:cs="Tahoma"/>
          <w:sz w:val="20"/>
          <w:szCs w:val="20"/>
        </w:rPr>
        <w:t>……</w:t>
      </w:r>
      <w:r w:rsidRPr="003E02EB">
        <w:rPr>
          <w:rFonts w:ascii="Century Gothic" w:hAnsi="Century Gothic" w:cs="Tahoma"/>
          <w:sz w:val="20"/>
          <w:szCs w:val="20"/>
        </w:rPr>
        <w:t>/CS/20</w:t>
      </w:r>
      <w:r w:rsidR="009C2BE9">
        <w:rPr>
          <w:rFonts w:ascii="Century Gothic" w:hAnsi="Century Gothic" w:cs="Tahoma"/>
          <w:sz w:val="20"/>
          <w:szCs w:val="20"/>
        </w:rPr>
        <w:t>22</w:t>
      </w:r>
      <w:r w:rsidR="00B82990">
        <w:rPr>
          <w:rFonts w:ascii="Century Gothic" w:hAnsi="Century Gothic" w:cs="Tahoma"/>
          <w:sz w:val="20"/>
          <w:szCs w:val="20"/>
        </w:rPr>
        <w:t xml:space="preserve"> ayant pour objet</w:t>
      </w:r>
      <w:r w:rsidRPr="003E02EB">
        <w:rPr>
          <w:rFonts w:ascii="Century Gothic" w:hAnsi="Century Gothic" w:cs="Tahoma"/>
          <w:sz w:val="20"/>
          <w:szCs w:val="20"/>
        </w:rPr>
        <w:t>:</w:t>
      </w:r>
    </w:p>
    <w:p w:rsidR="00D70BA7" w:rsidRPr="00D070CA" w:rsidRDefault="00793698" w:rsidP="00962902">
      <w:pPr>
        <w:rPr>
          <w:b/>
          <w:bCs/>
          <w:sz w:val="20"/>
          <w:szCs w:val="20"/>
        </w:rPr>
      </w:pPr>
      <w:r>
        <w:rPr>
          <w:b/>
          <w:bCs/>
          <w:sz w:val="20"/>
          <w:szCs w:val="20"/>
        </w:rPr>
        <w:t xml:space="preserve">Achat d’arbres et de </w:t>
      </w:r>
      <w:r w:rsidR="009349D2">
        <w:rPr>
          <w:b/>
          <w:bCs/>
          <w:sz w:val="20"/>
          <w:szCs w:val="20"/>
        </w:rPr>
        <w:t xml:space="preserve">plantes. </w:t>
      </w:r>
      <w:r w:rsidR="00004062" w:rsidRPr="003E02EB">
        <w:rPr>
          <w:rFonts w:ascii="Century Gothic" w:hAnsi="Century Gothic" w:cs="Tahoma"/>
          <w:sz w:val="20"/>
          <w:szCs w:val="20"/>
        </w:rPr>
        <w:t>Il</w:t>
      </w:r>
      <w:r w:rsidR="00D70BA7" w:rsidRPr="003E02EB">
        <w:rPr>
          <w:rFonts w:ascii="Century Gothic" w:hAnsi="Century Gothic" w:cs="Tahoma"/>
          <w:sz w:val="20"/>
          <w:szCs w:val="20"/>
        </w:rPr>
        <w:t xml:space="preserve">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F2093A">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A816A9" w:rsidRDefault="00D70BA7" w:rsidP="00A816A9">
      <w:pPr>
        <w:autoSpaceDE w:val="0"/>
        <w:autoSpaceDN w:val="0"/>
        <w:adjustRightInd w:val="0"/>
        <w:spacing w:line="240" w:lineRule="exact"/>
        <w:jc w:val="both"/>
        <w:rPr>
          <w:rFonts w:ascii="Century Gothic" w:hAnsi="Century Gothic" w:cs="Tahoma"/>
          <w:b/>
          <w:bCs/>
          <w:sz w:val="20"/>
          <w:szCs w:val="20"/>
          <w:u w:val="single"/>
        </w:rPr>
      </w:pPr>
      <w:r w:rsidRPr="00A816A9">
        <w:rPr>
          <w:rFonts w:ascii="Century Gothic" w:hAnsi="Century Gothic" w:cs="Tahoma"/>
          <w:b/>
          <w:bC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N°113-14 relative aux communes.</w:t>
      </w:r>
    </w:p>
    <w:p w:rsidR="00D70BA7" w:rsidRPr="00B243DF" w:rsidRDefault="00D70BA7" w:rsidP="00B243DF">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w:t>
      </w:r>
      <w:proofErr w:type="spellStart"/>
      <w:r w:rsidRPr="003E02EB">
        <w:rPr>
          <w:rFonts w:ascii="Century Gothic" w:hAnsi="Century Gothic" w:cs="Tahoma"/>
          <w:bCs/>
          <w:iCs/>
          <w:sz w:val="20"/>
          <w:szCs w:val="20"/>
        </w:rPr>
        <w:t>BabBouhaja</w:t>
      </w:r>
      <w:proofErr w:type="spellEnd"/>
      <w:r w:rsidRPr="003E02EB">
        <w:rPr>
          <w:rFonts w:ascii="Century Gothic" w:hAnsi="Century Gothic" w:cs="Tahoma"/>
          <w:bCs/>
          <w:iCs/>
          <w:sz w:val="20"/>
          <w:szCs w:val="20"/>
        </w:rPr>
        <w:t xml:space="preserve">,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10"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DD5C05" w:rsidRDefault="00DD5C05" w:rsidP="00D70BA7">
      <w:pPr>
        <w:autoSpaceDE w:val="0"/>
        <w:autoSpaceDN w:val="0"/>
        <w:adjustRightInd w:val="0"/>
        <w:jc w:val="both"/>
        <w:rPr>
          <w:rFonts w:ascii="Century Gothic" w:hAnsi="Century Gothic" w:cs="Tahoma"/>
          <w:b/>
          <w:bCs/>
          <w:sz w:val="20"/>
          <w:szCs w:val="20"/>
          <w:u w:val="single"/>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 xml:space="preserve">Exceptionnellement le maitre d’ouvrage peut introduire des modifications dans le dossier </w:t>
      </w:r>
      <w:r w:rsidRPr="003E02EB">
        <w:rPr>
          <w:rFonts w:ascii="Century Gothic" w:hAnsi="Century Gothic" w:cs="Tahoma"/>
          <w:snapToGrid w:val="0"/>
          <w:sz w:val="20"/>
          <w:szCs w:val="20"/>
        </w:rPr>
        <w:lastRenderedPageBreak/>
        <w:t>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005615" w:rsidRPr="00005615" w:rsidRDefault="00005615" w:rsidP="00005615">
      <w:pPr>
        <w:rPr>
          <w:rFonts w:ascii="Century Gothic" w:hAnsi="Century Gothic" w:cs="Tahoma"/>
          <w:snapToGrid w:val="0"/>
          <w:sz w:val="20"/>
          <w:szCs w:val="20"/>
        </w:rPr>
      </w:pPr>
      <w:r w:rsidRPr="00B82990">
        <w:rPr>
          <w:rFonts w:ascii="Century Gothic" w:hAnsi="Century Gothic" w:cs="Tahoma"/>
          <w:b/>
          <w:bCs/>
          <w:snapToGrid w:val="0"/>
          <w:sz w:val="20"/>
          <w:szCs w:val="20"/>
        </w:rPr>
        <w:t>I -</w:t>
      </w:r>
      <w:r w:rsidRPr="00005615">
        <w:rPr>
          <w:rFonts w:ascii="Century Gothic" w:hAnsi="Century Gothic" w:cs="Tahoma"/>
          <w:snapToGrid w:val="0"/>
          <w:sz w:val="20"/>
          <w:szCs w:val="20"/>
        </w:rPr>
        <w:t xml:space="preserve"> Conformément aux dispositions de l’article 25 du décret n° 2-12-349 du 20-03-2013, Chaque concurrent doit présenter un dossier administratif, un dossier technique, Chaque dossier doit être accompagné d’un état des pièces qui le constituent.</w:t>
      </w:r>
    </w:p>
    <w:p w:rsidR="00005615" w:rsidRPr="00005615" w:rsidRDefault="00005615" w:rsidP="00005615">
      <w:pPr>
        <w:ind w:right="-108" w:firstLine="708"/>
        <w:jc w:val="both"/>
        <w:rPr>
          <w:rFonts w:ascii="Century Gothic" w:hAnsi="Century Gothic" w:cs="Tahoma"/>
          <w:snapToGrid w:val="0"/>
          <w:sz w:val="20"/>
          <w:szCs w:val="20"/>
        </w:rPr>
      </w:pPr>
      <w:r w:rsidRPr="00005615">
        <w:rPr>
          <w:rFonts w:ascii="Century Gothic" w:hAnsi="Century Gothic" w:cs="Tahoma"/>
          <w:snapToGrid w:val="0"/>
          <w:sz w:val="20"/>
          <w:szCs w:val="20"/>
        </w:rPr>
        <w:t>Les pièces à fournir par les concurrents sont:</w:t>
      </w:r>
    </w:p>
    <w:p w:rsidR="00005615" w:rsidRPr="00005615" w:rsidRDefault="00005615" w:rsidP="00005615">
      <w:pPr>
        <w:widowControl w:val="0"/>
        <w:jc w:val="both"/>
        <w:rPr>
          <w:rFonts w:ascii="Century Gothic" w:hAnsi="Century Gothic" w:cs="Tahoma"/>
          <w:b/>
          <w:snapToGrid w:val="0"/>
          <w:color w:val="000000" w:themeColor="text1"/>
          <w:sz w:val="20"/>
          <w:szCs w:val="20"/>
          <w:u w:val="single"/>
        </w:rPr>
      </w:pPr>
      <w:r w:rsidRPr="00005615">
        <w:rPr>
          <w:rFonts w:ascii="Century Gothic" w:hAnsi="Century Gothic" w:cs="Tahoma"/>
          <w:b/>
          <w:snapToGrid w:val="0"/>
          <w:color w:val="000000" w:themeColor="text1"/>
          <w:sz w:val="20"/>
          <w:szCs w:val="20"/>
          <w:u w:val="single"/>
        </w:rPr>
        <w:t xml:space="preserve">I - Un dossier  </w:t>
      </w:r>
      <w:proofErr w:type="gramStart"/>
      <w:r w:rsidRPr="00005615">
        <w:rPr>
          <w:rFonts w:ascii="Century Gothic" w:hAnsi="Century Gothic" w:cs="Tahoma"/>
          <w:b/>
          <w:snapToGrid w:val="0"/>
          <w:color w:val="000000" w:themeColor="text1"/>
          <w:sz w:val="20"/>
          <w:szCs w:val="20"/>
          <w:u w:val="single"/>
        </w:rPr>
        <w:t>Administratif  :</w:t>
      </w:r>
      <w:proofErr w:type="gramEnd"/>
    </w:p>
    <w:p w:rsidR="00005615" w:rsidRPr="00005615" w:rsidRDefault="00005615" w:rsidP="00005615">
      <w:pPr>
        <w:widowControl w:val="0"/>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Les pièces à fournir par les concurrents au moment de la présentation des offres sont :</w:t>
      </w:r>
    </w:p>
    <w:p w:rsidR="00005615" w:rsidRPr="00005615" w:rsidRDefault="00005615" w:rsidP="00005615">
      <w:pPr>
        <w:widowControl w:val="0"/>
        <w:numPr>
          <w:ilvl w:val="0"/>
          <w:numId w:val="22"/>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Pour tout concurrent :</w:t>
      </w:r>
    </w:p>
    <w:p w:rsidR="00005615" w:rsidRPr="00005615" w:rsidRDefault="00005615" w:rsidP="00005615">
      <w:pPr>
        <w:widowControl w:val="0"/>
        <w:spacing w:after="200" w:line="276" w:lineRule="auto"/>
        <w:ind w:left="720"/>
        <w:contextualSpacing/>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 dossier administratif doit comprendre au moment de la présentation de son offre :</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Cs/>
          <w:snapToGrid w:val="0"/>
          <w:color w:val="000000" w:themeColor="text1"/>
          <w:sz w:val="20"/>
          <w:szCs w:val="20"/>
          <w:lang w:eastAsia="en-US"/>
        </w:rPr>
      </w:pPr>
      <w:r w:rsidRPr="00005615">
        <w:rPr>
          <w:rFonts w:ascii="Century Gothic" w:eastAsia="Calibri" w:hAnsi="Century Gothic" w:cs="Tahoma"/>
          <w:bCs/>
          <w:snapToGrid w:val="0"/>
          <w:color w:val="000000" w:themeColor="text1"/>
          <w:sz w:val="20"/>
          <w:szCs w:val="20"/>
          <w:lang w:eastAsia="en-US"/>
        </w:rPr>
        <w:t xml:space="preserve">une déclaration sur l’honneur, en un exemplaire unique, comprenant les indications et les engagements précisés à </w:t>
      </w:r>
      <w:r w:rsidRPr="00005615">
        <w:rPr>
          <w:rFonts w:ascii="Century Gothic" w:eastAsia="Calibri" w:hAnsi="Century Gothic" w:cs="Tahoma"/>
          <w:b/>
          <w:snapToGrid w:val="0"/>
          <w:color w:val="000000" w:themeColor="text1"/>
          <w:sz w:val="20"/>
          <w:szCs w:val="20"/>
          <w:lang w:eastAsia="en-US"/>
        </w:rPr>
        <w:t>l’article 26</w:t>
      </w:r>
      <w:r w:rsidRPr="00005615">
        <w:rPr>
          <w:rFonts w:ascii="Century Gothic" w:eastAsia="Calibri" w:hAnsi="Century Gothic" w:cs="Tahoma"/>
          <w:bCs/>
          <w:snapToGrid w:val="0"/>
          <w:color w:val="000000" w:themeColor="text1"/>
          <w:sz w:val="20"/>
          <w:szCs w:val="20"/>
          <w:lang w:eastAsia="en-US"/>
        </w:rPr>
        <w:t xml:space="preserve"> du décret n°2.12.349 du 20 mars 2013 relatif aux marchés publics.</w:t>
      </w:r>
    </w:p>
    <w:p w:rsidR="00005615" w:rsidRPr="00005615" w:rsidRDefault="00005615" w:rsidP="00005615">
      <w:pPr>
        <w:widowControl w:val="0"/>
        <w:numPr>
          <w:ilvl w:val="0"/>
          <w:numId w:val="9"/>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snapToGrid w:val="0"/>
          <w:color w:val="000000" w:themeColor="text1"/>
          <w:sz w:val="20"/>
          <w:szCs w:val="20"/>
          <w:lang w:eastAsia="en-US"/>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005615">
        <w:rPr>
          <w:rFonts w:ascii="Century Gothic" w:eastAsia="Calibri" w:hAnsi="Century Gothic" w:cs="Tahoma"/>
          <w:b/>
          <w:bCs/>
          <w:snapToGrid w:val="0"/>
          <w:color w:val="000000" w:themeColor="text1"/>
          <w:sz w:val="20"/>
          <w:szCs w:val="20"/>
          <w:lang w:eastAsia="en-US"/>
        </w:rPr>
        <w:t>à l’article 157</w:t>
      </w:r>
      <w:r w:rsidRPr="00005615">
        <w:rPr>
          <w:rFonts w:ascii="Century Gothic" w:eastAsia="Calibri" w:hAnsi="Century Gothic" w:cs="Tahoma"/>
          <w:snapToGrid w:val="0"/>
          <w:color w:val="000000" w:themeColor="text1"/>
          <w:sz w:val="20"/>
          <w:szCs w:val="20"/>
          <w:lang w:eastAsia="en-US"/>
        </w:rPr>
        <w:t xml:space="preserve"> du décret 2-12-349 </w:t>
      </w:r>
      <w:r w:rsidRPr="00005615">
        <w:rPr>
          <w:rFonts w:ascii="Century Gothic" w:eastAsia="Calibri" w:hAnsi="Century Gothic" w:cs="Tahoma"/>
          <w:color w:val="000000" w:themeColor="text1"/>
          <w:sz w:val="20"/>
          <w:szCs w:val="20"/>
          <w:lang w:eastAsia="en-US"/>
        </w:rPr>
        <w:t>précité.</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color w:val="000000" w:themeColor="text1"/>
          <w:sz w:val="20"/>
          <w:szCs w:val="20"/>
          <w:lang w:eastAsia="en-US"/>
        </w:rPr>
        <w:t>Lorsque le concurrent est un établissement public, une copie du texte l’habilitant à exécuter les prestations objet du marché.</w:t>
      </w:r>
    </w:p>
    <w:p w:rsidR="00005615" w:rsidRPr="00005615" w:rsidRDefault="00005615" w:rsidP="00005615">
      <w:pPr>
        <w:widowControl w:val="0"/>
        <w:jc w:val="both"/>
        <w:rPr>
          <w:rFonts w:ascii="Century Gothic" w:hAnsi="Century Gothic" w:cs="Tahoma"/>
          <w:b/>
          <w:i/>
          <w:iCs/>
          <w:snapToGrid w:val="0"/>
          <w:color w:val="000000" w:themeColor="text1"/>
          <w:sz w:val="20"/>
          <w:szCs w:val="20"/>
          <w:u w:val="single"/>
        </w:rPr>
      </w:pPr>
      <w:r w:rsidRPr="00005615">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005615">
        <w:rPr>
          <w:rFonts w:ascii="Century Gothic" w:hAnsi="Century Gothic" w:cs="Tahoma"/>
          <w:b/>
          <w:snapToGrid w:val="0"/>
          <w:color w:val="000000" w:themeColor="text1"/>
          <w:sz w:val="20"/>
          <w:szCs w:val="20"/>
          <w:u w:val="single"/>
        </w:rPr>
        <w:t>décret n°2.12.349 du 20 mars 2013</w:t>
      </w:r>
      <w:r w:rsidRPr="00005615">
        <w:rPr>
          <w:rFonts w:ascii="Century Gothic" w:hAnsi="Century Gothic" w:cs="Tahoma"/>
          <w:b/>
          <w:i/>
          <w:iCs/>
          <w:snapToGrid w:val="0"/>
          <w:color w:val="000000" w:themeColor="text1"/>
          <w:sz w:val="20"/>
          <w:szCs w:val="20"/>
          <w:u w:val="single"/>
        </w:rPr>
        <w:t> :</w:t>
      </w:r>
    </w:p>
    <w:p w:rsidR="00005615" w:rsidRPr="00005615" w:rsidRDefault="00005615" w:rsidP="00005615">
      <w:pPr>
        <w:widowControl w:val="0"/>
        <w:jc w:val="both"/>
        <w:rPr>
          <w:rFonts w:ascii="Century Gothic" w:hAnsi="Century Gothic" w:cs="Tahoma"/>
          <w:b/>
          <w:i/>
          <w:iCs/>
          <w:snapToGrid w:val="0"/>
          <w:color w:val="000000" w:themeColor="text1"/>
          <w:sz w:val="20"/>
          <w:szCs w:val="20"/>
        </w:rPr>
      </w:pP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conférées à la personne agissant au nom du concurrent :</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physique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Aucune pièce n’est exigée pour la personne physique agissant pour son propre compte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Une copie conforme de la procuration l égalisée pour le représentant de la personne physique.</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morale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conférés à la personne agissant au nom du concurrent.</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 extrait des statuts de la société et/ou le procès-verbal de l’organe compétent lui donnant pouvoir selon la forme juridique de la société.</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L’acte par lequel la personne habilitée délègue son pouvoir à une tierce personne, le cas échéant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w:t>
      </w:r>
      <w:r w:rsidRPr="00005615">
        <w:rPr>
          <w:rFonts w:ascii="Century Gothic" w:hAnsi="Century Gothic" w:cs="Tahoma"/>
          <w:snapToGrid w:val="0"/>
          <w:color w:val="000000" w:themeColor="text1"/>
          <w:sz w:val="20"/>
          <w:szCs w:val="20"/>
        </w:rPr>
        <w:t xml:space="preserve">2-12-349 </w:t>
      </w:r>
      <w:r w:rsidRPr="00005615">
        <w:rPr>
          <w:rFonts w:ascii="Century Gothic" w:hAnsi="Century Gothic" w:cs="Tahoma"/>
          <w:color w:val="000000" w:themeColor="text1"/>
          <w:sz w:val="20"/>
          <w:szCs w:val="20"/>
        </w:rPr>
        <w:t>précité. Cette attestation doit mentionner l’activité au titre de laquelle le concurrent est imposé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snapToGrid w:val="0"/>
          <w:color w:val="000000" w:themeColor="text1"/>
          <w:sz w:val="20"/>
          <w:szCs w:val="20"/>
        </w:rPr>
        <w:lastRenderedPageBreak/>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005615">
        <w:rPr>
          <w:rFonts w:ascii="Century Gothic" w:hAnsi="Century Gothic" w:cs="Tahoma"/>
          <w:color w:val="000000" w:themeColor="text1"/>
          <w:sz w:val="20"/>
          <w:szCs w:val="20"/>
        </w:rPr>
        <w:t xml:space="preserve">précité ou de la décision du ministre chargé de l’emploi ou sa copie certifiée conforme à l’original prévue par le dahir portant loi n°1-72-184 du 15 </w:t>
      </w:r>
      <w:proofErr w:type="spellStart"/>
      <w:r w:rsidRPr="00005615">
        <w:rPr>
          <w:rFonts w:ascii="Century Gothic" w:hAnsi="Century Gothic" w:cs="Tahoma"/>
          <w:color w:val="000000" w:themeColor="text1"/>
          <w:sz w:val="20"/>
          <w:szCs w:val="20"/>
        </w:rPr>
        <w:t>Joumada</w:t>
      </w:r>
      <w:proofErr w:type="spellEnd"/>
      <w:r w:rsidRPr="00005615">
        <w:rPr>
          <w:rFonts w:ascii="Century Gothic" w:hAnsi="Century Gothic" w:cs="Tahoma"/>
          <w:color w:val="000000" w:themeColor="text1"/>
          <w:sz w:val="20"/>
          <w:szCs w:val="20"/>
        </w:rPr>
        <w:t xml:space="preserve"> II 1392 527 Juillet 1972) relatif au régime de la sécurité sociale assortie de l’attestation de l’organisme de prévoyance sociale auquel le concurrent est affilié et certifiant qu’il est en situation régulière vis-à-vis dudit organisme.</w:t>
      </w:r>
    </w:p>
    <w:p w:rsidR="00005615" w:rsidRPr="00005615" w:rsidRDefault="00005615" w:rsidP="00005615">
      <w:pPr>
        <w:widowControl w:val="0"/>
        <w:numPr>
          <w:ilvl w:val="0"/>
          <w:numId w:val="10"/>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005615">
        <w:rPr>
          <w:rFonts w:ascii="Century Gothic" w:hAnsi="Century Gothic" w:cs="Tahoma"/>
          <w:b/>
          <w:bCs/>
          <w:snapToGrid w:val="0"/>
          <w:color w:val="000000" w:themeColor="text1"/>
          <w:sz w:val="20"/>
          <w:szCs w:val="20"/>
        </w:rPr>
        <w:t>législation en vigueur (Modèle 09</w:t>
      </w:r>
      <w:r w:rsidRPr="00005615">
        <w:rPr>
          <w:rFonts w:ascii="Century Gothic" w:hAnsi="Century Gothic" w:cs="Tahoma"/>
          <w:snapToGrid w:val="0"/>
          <w:color w:val="000000" w:themeColor="text1"/>
          <w:sz w:val="20"/>
          <w:szCs w:val="20"/>
        </w:rPr>
        <w:t>).</w:t>
      </w:r>
    </w:p>
    <w:p w:rsidR="00005615" w:rsidRPr="00005615" w:rsidRDefault="00005615" w:rsidP="00005615">
      <w:pPr>
        <w:widowControl w:val="0"/>
        <w:numPr>
          <w:ilvl w:val="0"/>
          <w:numId w:val="10"/>
        </w:numPr>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L’équivalent des attestations visées </w:t>
      </w:r>
      <w:proofErr w:type="spellStart"/>
      <w:r w:rsidRPr="00005615">
        <w:rPr>
          <w:rFonts w:ascii="Century Gothic" w:hAnsi="Century Gothic" w:cs="Tahoma"/>
          <w:b/>
          <w:snapToGrid w:val="0"/>
          <w:color w:val="000000" w:themeColor="text1"/>
          <w:sz w:val="20"/>
          <w:szCs w:val="20"/>
        </w:rPr>
        <w:t>auxparagraphes</w:t>
      </w:r>
      <w:proofErr w:type="spellEnd"/>
      <w:r w:rsidRPr="00005615">
        <w:rPr>
          <w:rFonts w:ascii="Century Gothic" w:hAnsi="Century Gothic" w:cs="Tahoma"/>
          <w:b/>
          <w:snapToGrid w:val="0"/>
          <w:color w:val="000000" w:themeColor="text1"/>
          <w:sz w:val="20"/>
          <w:szCs w:val="20"/>
        </w:rPr>
        <w:t xml:space="preserve"> </w:t>
      </w:r>
      <w:proofErr w:type="gramStart"/>
      <w:r w:rsidRPr="00005615">
        <w:rPr>
          <w:rFonts w:ascii="Century Gothic" w:hAnsi="Century Gothic" w:cs="Tahoma"/>
          <w:b/>
          <w:snapToGrid w:val="0"/>
          <w:color w:val="000000" w:themeColor="text1"/>
          <w:sz w:val="20"/>
          <w:szCs w:val="20"/>
        </w:rPr>
        <w:t>b ,c</w:t>
      </w:r>
      <w:proofErr w:type="gramEnd"/>
      <w:r w:rsidRPr="00005615">
        <w:rPr>
          <w:rFonts w:ascii="Century Gothic" w:hAnsi="Century Gothic" w:cs="Tahoma"/>
          <w:b/>
          <w:snapToGrid w:val="0"/>
          <w:color w:val="000000" w:themeColor="text1"/>
          <w:sz w:val="20"/>
          <w:szCs w:val="20"/>
        </w:rPr>
        <w:t xml:space="preserve"> et d</w:t>
      </w:r>
      <w:r w:rsidRPr="00005615">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D70BA7" w:rsidRPr="00005615" w:rsidRDefault="00005615" w:rsidP="00005615">
      <w:pPr>
        <w:widowControl w:val="0"/>
        <w:ind w:left="720"/>
        <w:jc w:val="both"/>
        <w:rPr>
          <w:rFonts w:ascii="Century Gothic" w:hAnsi="Century Gothic" w:cs="Tahoma"/>
          <w:snapToGrid w:val="0"/>
          <w:color w:val="000000" w:themeColor="text1"/>
          <w:sz w:val="8"/>
          <w:szCs w:val="8"/>
        </w:rPr>
      </w:pPr>
      <w:r w:rsidRPr="00005615">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005615">
        <w:rPr>
          <w:rFonts w:ascii="Century Gothic" w:hAnsi="Century Gothic" w:cs="Tahoma"/>
          <w:i/>
          <w:iCs/>
          <w:color w:val="000000" w:themeColor="text1"/>
          <w:sz w:val="20"/>
          <w:szCs w:val="20"/>
        </w:rPr>
        <w:t xml:space="preserv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F46AC3" w:rsidRPr="00005615" w:rsidRDefault="00D70BA7" w:rsidP="00005615">
      <w:pPr>
        <w:pStyle w:val="Paragraphedeliste"/>
        <w:widowControl w:val="0"/>
        <w:numPr>
          <w:ilvl w:val="0"/>
          <w:numId w:val="24"/>
        </w:numPr>
        <w:jc w:val="both"/>
        <w:rPr>
          <w:rFonts w:ascii="Century Gothic" w:hAnsi="Century Gothic" w:cs="Tahoma"/>
          <w:b/>
          <w:snapToGrid w:val="0"/>
          <w:sz w:val="20"/>
          <w:szCs w:val="20"/>
          <w:u w:val="single"/>
        </w:rPr>
      </w:pPr>
      <w:r w:rsidRPr="00005615">
        <w:rPr>
          <w:rFonts w:ascii="Century Gothic" w:hAnsi="Century Gothic" w:cs="Tahoma"/>
          <w:b/>
          <w:snapToGrid w:val="0"/>
          <w:sz w:val="20"/>
          <w:szCs w:val="20"/>
          <w:u w:val="single"/>
        </w:rPr>
        <w:t>dossier  Technique</w:t>
      </w:r>
      <w:r w:rsidR="00F46AC3" w:rsidRPr="00005615">
        <w:rPr>
          <w:rFonts w:ascii="Century Gothic" w:hAnsi="Century Gothic" w:cs="Tahoma"/>
          <w:b/>
          <w:snapToGrid w:val="0"/>
          <w:sz w:val="20"/>
          <w:szCs w:val="20"/>
          <w:u w:val="single"/>
        </w:rPr>
        <w:t> :</w:t>
      </w:r>
      <w:r w:rsidRPr="00005615">
        <w:rPr>
          <w:rFonts w:ascii="Century Gothic" w:hAnsi="Century Gothic" w:cs="Tahoma"/>
          <w:b/>
          <w:snapToGrid w:val="0"/>
          <w:sz w:val="20"/>
          <w:szCs w:val="20"/>
          <w:u w:val="single"/>
        </w:rPr>
        <w:t> </w:t>
      </w:r>
    </w:p>
    <w:p w:rsidR="00646F32" w:rsidRPr="00B243DF" w:rsidRDefault="00793698" w:rsidP="00B243DF">
      <w:pPr>
        <w:pStyle w:val="Paragraphedeliste"/>
        <w:spacing w:line="360" w:lineRule="auto"/>
        <w:ind w:left="1004"/>
        <w:rPr>
          <w:iCs/>
        </w:rPr>
      </w:pPr>
      <w:r w:rsidRPr="00793698">
        <w:rPr>
          <w:iCs/>
        </w:rPr>
        <w:t xml:space="preserve">- </w:t>
      </w:r>
      <w:r w:rsidRPr="00793698">
        <w:rPr>
          <w:rFonts w:ascii="Century Gothic" w:hAnsi="Century Gothic" w:cs="Tahoma"/>
          <w:bCs/>
          <w:snapToGrid w:val="0"/>
          <w:color w:val="000000" w:themeColor="text1"/>
          <w:sz w:val="20"/>
          <w:szCs w:val="20"/>
        </w:rPr>
        <w:t>Une note indiquant les moyens humains et techniques du concurrent et mentionnant éventuellement, le lieu, la date, la nature et l’importance des prestations à l’exécution desquelles le concurrent a participé et la qualité de sa participation</w:t>
      </w:r>
      <w:r w:rsidRPr="00793698">
        <w:rPr>
          <w:iCs/>
        </w:rPr>
        <w:t>.</w:t>
      </w:r>
    </w:p>
    <w:p w:rsidR="005967CA" w:rsidRPr="00793698" w:rsidRDefault="005967CA" w:rsidP="005967CA">
      <w:pPr>
        <w:widowControl w:val="0"/>
        <w:tabs>
          <w:tab w:val="num" w:pos="360"/>
        </w:tabs>
        <w:jc w:val="both"/>
        <w:rPr>
          <w:rFonts w:ascii="Century Gothic" w:hAnsi="Century Gothic" w:cs="Tahoma"/>
          <w:bCs/>
          <w:snapToGrid w:val="0"/>
          <w:color w:val="000000" w:themeColor="text1"/>
          <w:sz w:val="20"/>
          <w:szCs w:val="20"/>
        </w:rPr>
      </w:pPr>
      <w:r w:rsidRPr="00793698">
        <w:rPr>
          <w:rFonts w:ascii="Century Gothic" w:hAnsi="Century Gothic" w:cs="Tahoma"/>
          <w:bCs/>
          <w:snapToGrid w:val="0"/>
          <w:color w:val="000000" w:themeColor="text1"/>
          <w:sz w:val="20"/>
          <w:szCs w:val="20"/>
        </w:rPr>
        <w:t xml:space="preserve">En cas de groupement </w:t>
      </w:r>
      <w:r w:rsidRPr="00793698">
        <w:rPr>
          <w:rFonts w:ascii="Century Gothic" w:hAnsi="Century Gothic" w:cs="Tahoma"/>
          <w:b/>
          <w:snapToGrid w:val="0"/>
          <w:color w:val="000000" w:themeColor="text1"/>
          <w:sz w:val="20"/>
          <w:szCs w:val="20"/>
        </w:rPr>
        <w:t>conjoint</w:t>
      </w:r>
      <w:r w:rsidRPr="00793698">
        <w:rPr>
          <w:rFonts w:ascii="Century Gothic" w:hAnsi="Century Gothic" w:cs="Tahoma"/>
          <w:bCs/>
          <w:snapToGrid w:val="0"/>
          <w:color w:val="000000" w:themeColor="text1"/>
          <w:sz w:val="20"/>
          <w:szCs w:val="20"/>
        </w:rPr>
        <w:t>, chaque membre du groupement y compris le mandataire doit justifier individuellement les capacités juridiques, techniques et financières requises pour la réalisation des prestations pour lesquelles il s’engage.</w:t>
      </w:r>
    </w:p>
    <w:p w:rsidR="005967CA" w:rsidRPr="00793698" w:rsidRDefault="005967CA" w:rsidP="005967CA">
      <w:pPr>
        <w:widowControl w:val="0"/>
        <w:tabs>
          <w:tab w:val="num" w:pos="360"/>
        </w:tabs>
        <w:jc w:val="both"/>
        <w:rPr>
          <w:rFonts w:ascii="Century Gothic" w:hAnsi="Century Gothic" w:cs="Tahoma"/>
          <w:bCs/>
          <w:snapToGrid w:val="0"/>
          <w:color w:val="000000" w:themeColor="text1"/>
          <w:sz w:val="20"/>
          <w:szCs w:val="20"/>
        </w:rPr>
      </w:pPr>
      <w:r w:rsidRPr="00793698">
        <w:rPr>
          <w:rFonts w:ascii="Century Gothic" w:hAnsi="Century Gothic" w:cs="Tahoma"/>
          <w:bCs/>
          <w:snapToGrid w:val="0"/>
          <w:color w:val="000000" w:themeColor="text1"/>
          <w:sz w:val="20"/>
          <w:szCs w:val="20"/>
        </w:rPr>
        <w:tab/>
        <w:t>En cas de groupement solidaire tous les membres du groupement solidaire y compris le mandataire, doivent justifier individuellement les capacités juridiques exigées.</w:t>
      </w:r>
    </w:p>
    <w:p w:rsidR="00D70BA7" w:rsidRDefault="00D70BA7" w:rsidP="006758F2">
      <w:pPr>
        <w:jc w:val="both"/>
        <w:rPr>
          <w:rFonts w:ascii="Bookman Old Style" w:hAnsi="Bookman Old Style"/>
          <w:b/>
          <w:bCs/>
          <w:color w:val="000000" w:themeColor="text1"/>
        </w:rPr>
      </w:pPr>
    </w:p>
    <w:p w:rsidR="00B82990" w:rsidRPr="003E02EB" w:rsidRDefault="00B82990" w:rsidP="006758F2">
      <w:pPr>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w:t>
      </w:r>
      <w:r w:rsidR="000C06E7">
        <w:rPr>
          <w:rFonts w:ascii="Century Gothic" w:hAnsi="Century Gothic" w:cs="Tahoma"/>
          <w:snapToGrid w:val="0"/>
          <w:sz w:val="20"/>
          <w:szCs w:val="20"/>
          <w:lang w:eastAsia="ar-SA"/>
        </w:rPr>
        <w:t xml:space="preserve"> nom et l'adresse du concurrent ;</w:t>
      </w:r>
    </w:p>
    <w:p w:rsidR="000C06E7" w:rsidRDefault="000C06E7" w:rsidP="000C06E7">
      <w:pPr>
        <w:numPr>
          <w:ilvl w:val="0"/>
          <w:numId w:val="4"/>
        </w:numPr>
        <w:tabs>
          <w:tab w:val="left" w:pos="4253"/>
        </w:tabs>
        <w:rPr>
          <w:rFonts w:ascii="Century Gothic" w:hAnsi="Century Gothic" w:cs="Tahoma"/>
          <w:snapToGrid w:val="0"/>
          <w:sz w:val="20"/>
          <w:szCs w:val="20"/>
          <w:lang w:eastAsia="ar-SA"/>
        </w:rPr>
      </w:pPr>
      <w:r>
        <w:rPr>
          <w:rFonts w:ascii="Century Gothic" w:hAnsi="Century Gothic" w:cs="Tahoma"/>
          <w:snapToGrid w:val="0"/>
          <w:sz w:val="20"/>
          <w:szCs w:val="20"/>
          <w:lang w:eastAsia="ar-SA"/>
        </w:rPr>
        <w:t>L'objet du marché ;</w:t>
      </w:r>
    </w:p>
    <w:p w:rsidR="00D70BA7" w:rsidRPr="000C06E7" w:rsidRDefault="00D70BA7" w:rsidP="00D70BA7">
      <w:pPr>
        <w:numPr>
          <w:ilvl w:val="0"/>
          <w:numId w:val="4"/>
        </w:numPr>
        <w:tabs>
          <w:tab w:val="left" w:pos="4253"/>
        </w:tabs>
        <w:rPr>
          <w:rFonts w:ascii="Century Gothic" w:hAnsi="Century Gothic" w:cs="Tahoma"/>
          <w:snapToGrid w:val="0"/>
          <w:sz w:val="20"/>
          <w:szCs w:val="20"/>
          <w:lang w:eastAsia="ar-SA"/>
        </w:rPr>
      </w:pPr>
      <w:r w:rsidRPr="000C06E7">
        <w:rPr>
          <w:rFonts w:ascii="Century Gothic" w:hAnsi="Century Gothic" w:cs="Tahoma"/>
          <w:snapToGrid w:val="0"/>
          <w:sz w:val="20"/>
          <w:szCs w:val="20"/>
          <w:lang w:eastAsia="ar-SA"/>
        </w:rPr>
        <w:t>La date et l'heure de la séance publique d'ouverture des plis</w:t>
      </w:r>
      <w:r w:rsidR="000C06E7">
        <w:rPr>
          <w:rFonts w:ascii="Century Gothic" w:hAnsi="Century Gothic" w:cs="Tahoma"/>
          <w:snapToGrid w:val="0"/>
          <w:sz w:val="20"/>
          <w:szCs w:val="20"/>
          <w:lang w:eastAsia="ar-SA"/>
        </w:rPr>
        <w:t> ;</w:t>
      </w:r>
      <w:r w:rsidRPr="000C06E7">
        <w:rPr>
          <w:rFonts w:ascii="Century Gothic" w:hAnsi="Century Gothic" w:cs="Tahoma"/>
          <w:snapToGrid w:val="0"/>
          <w:sz w:val="20"/>
          <w:szCs w:val="20"/>
          <w:lang w:eastAsia="ar-SA"/>
        </w:rPr>
        <w: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r w:rsidR="00004062" w:rsidRPr="003E02EB">
        <w:rPr>
          <w:rFonts w:ascii="Century Gothic" w:hAnsi="Century Gothic" w:cs="Tahoma"/>
          <w:snapToGrid w:val="0"/>
          <w:sz w:val="20"/>
          <w:szCs w:val="20"/>
          <w:u w:val="single"/>
          <w:lang w:eastAsia="ar-SA"/>
        </w:rPr>
        <w:t>enveloppe:</w:t>
      </w:r>
      <w:r w:rsidR="00004062" w:rsidRPr="003E02EB">
        <w:rPr>
          <w:rFonts w:ascii="Century Gothic" w:hAnsi="Century Gothic" w:cs="Tahoma"/>
          <w:sz w:val="20"/>
          <w:szCs w:val="20"/>
        </w:rPr>
        <w:t xml:space="preserve"> le</w:t>
      </w:r>
      <w:r w:rsidRPr="003E02EB">
        <w:rPr>
          <w:rFonts w:ascii="Century Gothic" w:hAnsi="Century Gothic" w:cs="Tahoma"/>
          <w:sz w:val="20"/>
          <w:szCs w:val="20"/>
        </w:rPr>
        <w:t xml:space="preserv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Les deux (02) enveloppes visées ci-dessus indiquent de manière apparente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lastRenderedPageBreak/>
        <w:t>- le nom et l’adresse du concurrent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l’objet du marché ;</w:t>
      </w:r>
    </w:p>
    <w:p w:rsidR="00BD225B" w:rsidRPr="00B243DF" w:rsidRDefault="00826DEA" w:rsidP="00B243DF">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la date et l’heure de la séance d’ouverture des plis ;</w:t>
      </w: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B237C2" w:rsidRPr="00B237C2" w:rsidRDefault="00DC62C0" w:rsidP="00DC62C0">
      <w:pPr>
        <w:numPr>
          <w:ilvl w:val="0"/>
          <w:numId w:val="12"/>
        </w:numPr>
        <w:jc w:val="both"/>
        <w:rPr>
          <w:rFonts w:ascii="Century Gothic" w:hAnsi="Century Gothic" w:cs="Tahoma"/>
          <w:b/>
          <w:bCs/>
          <w:color w:val="FF0000"/>
          <w:sz w:val="20"/>
          <w:szCs w:val="20"/>
        </w:rPr>
      </w:pPr>
      <w:r>
        <w:rPr>
          <w:rFonts w:ascii="Century Gothic" w:hAnsi="Century Gothic" w:cs="Tahoma"/>
          <w:sz w:val="20"/>
          <w:szCs w:val="20"/>
        </w:rPr>
        <w:t>Transmis leurs dossiers par voie électronique au portail des marchés publics</w:t>
      </w:r>
      <w:r w:rsidR="00D31830">
        <w:rPr>
          <w:rFonts w:ascii="Century Gothic" w:hAnsi="Century Gothic" w:cs="Tahoma"/>
          <w:sz w:val="20"/>
          <w:szCs w:val="20"/>
        </w:rPr>
        <w:t>.</w:t>
      </w:r>
    </w:p>
    <w:p w:rsidR="00B237C2" w:rsidRPr="00420CB3" w:rsidRDefault="00B237C2" w:rsidP="00B237C2">
      <w:pPr>
        <w:pStyle w:val="Paragraphedeliste"/>
        <w:ind w:left="1065"/>
        <w:jc w:val="both"/>
        <w:rPr>
          <w:rFonts w:ascii="Century Gothic" w:hAnsi="Century Gothic" w:cs="Tahoma"/>
          <w:b/>
          <w:bCs/>
          <w:sz w:val="20"/>
          <w:szCs w:val="20"/>
        </w:rPr>
      </w:pPr>
      <w:r w:rsidRPr="00420CB3">
        <w:rPr>
          <w:rFonts w:ascii="Century Gothic" w:hAnsi="Century Gothic" w:cs="Tahoma"/>
          <w:sz w:val="20"/>
          <w:szCs w:val="20"/>
        </w:rPr>
        <w:t>Pour les entreprises qui ne disposent pas desdits certificats, lesdits pièces et documents peuvent être scannés et déposés électroniquement au niveau du portail marocain des marchés publics</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466467">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w:t>
      </w:r>
      <w:r w:rsidR="00466467">
        <w:rPr>
          <w:rFonts w:ascii="Century Gothic" w:hAnsi="Century Gothic" w:cs="Tahoma"/>
          <w:snapToGrid w:val="0"/>
          <w:sz w:val="20"/>
          <w:szCs w:val="20"/>
          <w:lang w:eastAsia="ar-SA"/>
        </w:rPr>
        <w:t>fermés</w:t>
      </w:r>
      <w:r>
        <w:rPr>
          <w:rFonts w:ascii="Century Gothic" w:hAnsi="Century Gothic" w:cs="Tahoma"/>
          <w:snapToGrid w:val="0"/>
          <w:sz w:val="20"/>
          <w:szCs w:val="20"/>
          <w:lang w:eastAsia="ar-SA"/>
        </w:rPr>
        <w:t xml:space="preserve"> et seront tenus en lieu </w:t>
      </w:r>
      <w:r w:rsidR="00466467">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Default="00D70BA7" w:rsidP="00D70BA7">
      <w:pPr>
        <w:pStyle w:val="Corpsdetexte"/>
        <w:jc w:val="both"/>
        <w:rPr>
          <w:rFonts w:ascii="Century Gothic" w:hAnsi="Century Gothic" w:cs="Tahoma"/>
          <w:b/>
          <w:bCs/>
          <w:sz w:val="8"/>
          <w:szCs w:val="8"/>
          <w:u w:val="single"/>
        </w:rPr>
      </w:pPr>
    </w:p>
    <w:p w:rsidR="00B237C2" w:rsidRPr="003E02EB" w:rsidRDefault="00B237C2" w:rsidP="004A36F2">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8774D2" w:rsidRPr="00B237C2" w:rsidRDefault="00B237C2" w:rsidP="00B243DF">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8774D2" w:rsidRPr="003E02EB" w:rsidRDefault="008774D2" w:rsidP="008774D2">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EXAMEN DES OFFRES FINANCIERES</w:t>
      </w:r>
    </w:p>
    <w:p w:rsidR="008774D2" w:rsidRPr="003E02EB" w:rsidRDefault="008774D2" w:rsidP="008774D2">
      <w:pPr>
        <w:pStyle w:val="Corpsdetexte"/>
        <w:ind w:firstLine="708"/>
        <w:rPr>
          <w:rFonts w:ascii="Century Gothic" w:hAnsi="Century Gothic" w:cs="Tahoma"/>
          <w:sz w:val="20"/>
          <w:szCs w:val="20"/>
        </w:rPr>
      </w:pPr>
      <w:r w:rsidRPr="003E02EB">
        <w:rPr>
          <w:rFonts w:ascii="Century Gothic" w:hAnsi="Century Gothic" w:cs="Tahoma"/>
          <w:sz w:val="20"/>
          <w:szCs w:val="20"/>
        </w:rPr>
        <w:t xml:space="preserve">Conformément aux dispositions des articles 40 et 41 du  décret n° 2-12-349 précité, l'examen des offres financières concerne les seuls candidats admis à l’issue de l’examen de leurs dossiers administratifs, techniques, et additifs le cas échéant. </w:t>
      </w:r>
    </w:p>
    <w:p w:rsidR="00B237C2" w:rsidRPr="00B243DF" w:rsidRDefault="008774D2" w:rsidP="00B243DF">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w:t>
      </w:r>
      <w:proofErr w:type="spellStart"/>
      <w:r w:rsidRPr="003E02EB">
        <w:rPr>
          <w:rFonts w:ascii="Century Gothic" w:hAnsi="Century Gothic" w:cs="Tahoma"/>
          <w:b/>
          <w:bCs/>
          <w:sz w:val="20"/>
          <w:szCs w:val="20"/>
        </w:rPr>
        <w:t>disante</w:t>
      </w:r>
      <w:proofErr w:type="spellEnd"/>
      <w:r w:rsidRPr="003E02EB">
        <w:rPr>
          <w:rFonts w:ascii="Century Gothic" w:hAnsi="Century Gothic" w:cs="Tahoma"/>
          <w:b/>
          <w:bCs/>
          <w:sz w:val="20"/>
          <w:szCs w:val="20"/>
        </w:rPr>
        <w:t xml:space="preserve">. </w:t>
      </w: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8774D2">
        <w:rPr>
          <w:rFonts w:ascii="Century Gothic" w:hAnsi="Century Gothic" w:cs="Tahoma"/>
          <w:b/>
          <w:bCs/>
          <w:smallCaps/>
          <w:sz w:val="20"/>
          <w:szCs w:val="20"/>
          <w:u w:val="single"/>
        </w:rPr>
        <w:t>7</w:t>
      </w:r>
      <w:r w:rsidRPr="003E02EB">
        <w:rPr>
          <w:rFonts w:ascii="Century Gothic" w:hAnsi="Century Gothic" w:cs="Tahoma"/>
          <w:b/>
          <w:bCs/>
          <w:smallCaps/>
          <w:sz w:val="20"/>
          <w:szCs w:val="20"/>
          <w:u w:val="single"/>
        </w:rPr>
        <w:t xml:space="preserve"> : </w:t>
      </w:r>
      <w:r w:rsidRPr="00A816A9">
        <w:rPr>
          <w:rFonts w:ascii="Century Gothic" w:hAnsi="Century Gothic" w:cs="Tahoma"/>
          <w:b/>
          <w:bCs/>
          <w:smallCaps/>
          <w:u w:val="single"/>
        </w:rPr>
        <w:t>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Pr>
          <w:rFonts w:ascii="Century Gothic" w:hAnsi="Century Gothic" w:cs="Tahoma"/>
          <w:sz w:val="20"/>
          <w:szCs w:val="20"/>
        </w:rPr>
        <w:t xml:space="preserve">du </w:t>
      </w:r>
      <w:r w:rsidRPr="003E02EB">
        <w:rPr>
          <w:rFonts w:ascii="Century Gothic" w:hAnsi="Century Gothic" w:cs="Tahoma"/>
          <w:sz w:val="20"/>
          <w:szCs w:val="20"/>
        </w:rPr>
        <w:t xml:space="preserve">décret n° 2-12-349 </w:t>
      </w:r>
      <w:proofErr w:type="spellStart"/>
      <w:r w:rsidR="0088769C" w:rsidRPr="003E02EB">
        <w:rPr>
          <w:rFonts w:ascii="Century Gothic" w:hAnsi="Century Gothic" w:cs="Tahoma"/>
          <w:sz w:val="20"/>
          <w:szCs w:val="20"/>
        </w:rPr>
        <w:t>précité</w:t>
      </w:r>
      <w:proofErr w:type="gramStart"/>
      <w:r w:rsidR="0088769C">
        <w:rPr>
          <w:rFonts w:ascii="Century Gothic" w:hAnsi="Century Gothic" w:cs="Tahoma"/>
          <w:sz w:val="20"/>
          <w:szCs w:val="20"/>
        </w:rPr>
        <w:t>,</w:t>
      </w:r>
      <w:r w:rsidR="0088769C" w:rsidRPr="003E02EB">
        <w:rPr>
          <w:rFonts w:ascii="Century Gothic" w:hAnsi="Century Gothic" w:cs="Tahoma"/>
          <w:snapToGrid w:val="0"/>
          <w:sz w:val="20"/>
          <w:szCs w:val="20"/>
        </w:rPr>
        <w:t>les</w:t>
      </w:r>
      <w:proofErr w:type="spellEnd"/>
      <w:proofErr w:type="gramEnd"/>
      <w:r w:rsidR="00D70BA7" w:rsidRPr="003E02EB">
        <w:rPr>
          <w:rFonts w:ascii="Century Gothic" w:hAnsi="Century Gothic" w:cs="Tahoma"/>
          <w:snapToGrid w:val="0"/>
          <w:sz w:val="20"/>
          <w:szCs w:val="20"/>
        </w:rPr>
        <w:t xml:space="preserve"> concurrents restent engagés par leurs offres pendant un délai de </w:t>
      </w:r>
      <w:r w:rsidR="004E4B9D" w:rsidRPr="003E02EB">
        <w:rPr>
          <w:rFonts w:ascii="Century Gothic" w:hAnsi="Century Gothic" w:cs="Tahoma"/>
          <w:snapToGrid w:val="0"/>
          <w:sz w:val="20"/>
          <w:szCs w:val="20"/>
        </w:rPr>
        <w:t>soixante-quinze</w:t>
      </w:r>
      <w:r w:rsidR="00D70BA7" w:rsidRPr="003E02EB">
        <w:rPr>
          <w:rFonts w:ascii="Century Gothic" w:hAnsi="Century Gothic" w:cs="Tahoma"/>
          <w:snapToGrid w:val="0"/>
          <w:sz w:val="20"/>
          <w:szCs w:val="20"/>
        </w:rPr>
        <w:t xml:space="preserv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 xml:space="preserve">Si dans ce délai, le choix de l’attributaire ne peut être arrêté, le maître d’ouvrage pourra demander aux concurrents, par lettre recommandée avec </w:t>
      </w:r>
      <w:r w:rsidR="002C1C31" w:rsidRPr="003E02EB">
        <w:rPr>
          <w:rFonts w:ascii="Century Gothic" w:hAnsi="Century Gothic" w:cs="Tahoma"/>
          <w:sz w:val="20"/>
          <w:szCs w:val="20"/>
        </w:rPr>
        <w:t>accusé</w:t>
      </w:r>
      <w:r w:rsidRPr="003E02EB">
        <w:rPr>
          <w:rFonts w:ascii="Century Gothic" w:hAnsi="Century Gothic" w:cs="Tahoma"/>
          <w:sz w:val="20"/>
          <w:szCs w:val="20"/>
        </w:rPr>
        <w:t xml:space="preserv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8774D2">
        <w:rPr>
          <w:rFonts w:ascii="Century Gothic" w:hAnsi="Century Gothic" w:cs="Tahoma"/>
          <w:b/>
          <w:bCs/>
          <w:sz w:val="20"/>
          <w:szCs w:val="20"/>
          <w:u w:val="single"/>
        </w:rPr>
        <w:t>18</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Conformément aux dispositions de l’article 18 paragraphe 3  du décret n° 2-12-349 précité, le dirham  est la monnaie dans </w:t>
      </w:r>
      <w:r w:rsidR="00004062" w:rsidRPr="003E02EB">
        <w:rPr>
          <w:rFonts w:ascii="Century Gothic" w:hAnsi="Century Gothic" w:cs="Tahoma"/>
          <w:bCs/>
          <w:iCs/>
          <w:sz w:val="20"/>
          <w:szCs w:val="20"/>
        </w:rPr>
        <w:t>laquelle</w:t>
      </w:r>
      <w:r w:rsidRPr="003E02EB">
        <w:rPr>
          <w:rFonts w:ascii="Century Gothic" w:hAnsi="Century Gothic" w:cs="Tahoma"/>
          <w:bCs/>
          <w:iCs/>
          <w:sz w:val="20"/>
          <w:szCs w:val="20"/>
        </w:rPr>
        <w:t xml:space="preserv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Default="00D70BA7" w:rsidP="00A874EF">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Lorsque le concurrent n’est pas installé au Maroc, son offre doit être </w:t>
      </w:r>
      <w:r w:rsidR="00420CB3">
        <w:rPr>
          <w:rFonts w:ascii="Century Gothic" w:hAnsi="Century Gothic" w:cs="Tahoma"/>
          <w:bCs/>
          <w:iCs/>
          <w:sz w:val="20"/>
          <w:szCs w:val="20"/>
        </w:rPr>
        <w:t>exprimée</w:t>
      </w:r>
      <w:r w:rsidRPr="003E02EB">
        <w:rPr>
          <w:rFonts w:ascii="Century Gothic" w:hAnsi="Century Gothic" w:cs="Tahoma"/>
          <w:bCs/>
          <w:iCs/>
          <w:sz w:val="20"/>
          <w:szCs w:val="20"/>
        </w:rPr>
        <w:t xml:space="preserve"> en monnaie étrangère </w:t>
      </w:r>
      <w:r w:rsidR="00004062" w:rsidRPr="003E02EB">
        <w:rPr>
          <w:rFonts w:ascii="Century Gothic" w:hAnsi="Century Gothic" w:cs="Tahoma"/>
          <w:bCs/>
          <w:iCs/>
          <w:sz w:val="20"/>
          <w:szCs w:val="20"/>
        </w:rPr>
        <w:t>convertible. Dans</w:t>
      </w:r>
      <w:r w:rsidRPr="003E02EB">
        <w:rPr>
          <w:rFonts w:ascii="Century Gothic" w:hAnsi="Century Gothic" w:cs="Tahoma"/>
          <w:bCs/>
          <w:iCs/>
          <w:sz w:val="20"/>
          <w:szCs w:val="20"/>
        </w:rPr>
        <w:t xml:space="preserve"> ce cas, pour être évaluées et comparées, les montants des offres exprimées en monnaie étrangère doivent être convertis en dirham. Cette conversion doit s’effectuer sur la base du </w:t>
      </w:r>
    </w:p>
    <w:p w:rsidR="00A874EF" w:rsidRPr="00A874EF" w:rsidRDefault="00A874EF" w:rsidP="00A874EF"/>
    <w:p w:rsidR="003B29AF" w:rsidRPr="003C4CF2" w:rsidRDefault="00A874EF" w:rsidP="00D70BA7">
      <w:pPr>
        <w:tabs>
          <w:tab w:val="center" w:pos="4706"/>
        </w:tabs>
        <w:spacing w:line="360" w:lineRule="auto"/>
        <w:ind w:left="540"/>
        <w:jc w:val="both"/>
        <w:rPr>
          <w:rFonts w:ascii="Century Gothic" w:hAnsi="Century Gothic" w:cs="Tahoma"/>
          <w:color w:val="000000"/>
          <w:sz w:val="20"/>
          <w:szCs w:val="20"/>
        </w:rPr>
      </w:pPr>
      <w:r>
        <w:rPr>
          <w:rFonts w:ascii="Century Gothic" w:hAnsi="Century Gothic" w:cs="Tahoma"/>
          <w:noProof/>
          <w:color w:val="000000"/>
          <w:sz w:val="20"/>
          <w:szCs w:val="20"/>
        </w:rPr>
        <w:lastRenderedPageBreak/>
        <w:drawing>
          <wp:anchor distT="0" distB="0" distL="114300" distR="114300" simplePos="0" relativeHeight="251658240" behindDoc="0" locked="0" layoutInCell="1" allowOverlap="1">
            <wp:simplePos x="0" y="0"/>
            <wp:positionH relativeFrom="margin">
              <wp:posOffset>-205740</wp:posOffset>
            </wp:positionH>
            <wp:positionV relativeFrom="margin">
              <wp:posOffset>-91440</wp:posOffset>
            </wp:positionV>
            <wp:extent cx="6391275" cy="9039225"/>
            <wp:effectExtent l="0" t="0" r="0" b="0"/>
            <wp:wrapSquare wrapText="bothSides"/>
            <wp:docPr id="3" name="Image 3" descr="C:\Users\HP\Documents\2022_10_19\IMG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P\Documents\2022_10_19\IMG_000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91275" cy="9039225"/>
                    </a:xfrm>
                    <a:prstGeom prst="rect">
                      <a:avLst/>
                    </a:prstGeom>
                    <a:noFill/>
                    <a:ln>
                      <a:noFill/>
                    </a:ln>
                  </pic:spPr>
                </pic:pic>
              </a:graphicData>
            </a:graphic>
          </wp:anchor>
        </w:drawing>
      </w:r>
    </w:p>
    <w:sectPr w:rsidR="003B29AF" w:rsidRPr="003C4CF2" w:rsidSect="00F2093A">
      <w:footerReference w:type="even" r:id="rId12"/>
      <w:footerReference w:type="default" r:id="rId13"/>
      <w:pgSz w:w="11906" w:h="16838"/>
      <w:pgMar w:top="709" w:right="707" w:bottom="1135" w:left="1134"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07D3" w:rsidRDefault="001D07D3">
      <w:r>
        <w:separator/>
      </w:r>
    </w:p>
  </w:endnote>
  <w:endnote w:type="continuationSeparator" w:id="0">
    <w:p w:rsidR="001D07D3" w:rsidRDefault="001D07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506D1C"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9066056"/>
      <w:docPartObj>
        <w:docPartGallery w:val="Page Numbers (Bottom of Page)"/>
        <w:docPartUnique/>
      </w:docPartObj>
    </w:sdtPr>
    <w:sdtEndPr/>
    <w:sdtContent>
      <w:p w:rsidR="0050658C" w:rsidRDefault="001D07D3" w:rsidP="005F7A9E">
        <w:pPr>
          <w:jc w:val="center"/>
        </w:pPr>
        <w:r>
          <w:rPr>
            <w:rFonts w:asciiTheme="majorHAnsi" w:hAnsiTheme="majorHAnsi"/>
            <w:b/>
            <w:bCs/>
            <w:noProof/>
            <w:sz w:val="28"/>
            <w:szCs w:val="28"/>
            <w:lang w:eastAsia="zh-TW"/>
          </w:rPr>
          <w:pict>
            <v:shapetype id="_x0000_t107" coordsize="21600,21600" o:spt="107" adj="5400,5400,18900" path="ar@9@38@8@37,0@27@0@26@9@13@8@4@0@25@22@25@9@38@8@37@22@26@3@27l@7@40@3,wa@9@35@8@10@3,0@21@33@9@36@8@1@21@31@20@31@9@35@8@10@20@33,,l@5@40xewr@9@36@8@1@20@31@0@32nfl@20@33ear@9@36@8@1@21@31@22@32nfl@21@33em@0@26nfl@0@32em@22@26nfl@22@32e">
              <v:formulas>
                <v:f eqn="val #0"/>
                <v:f eqn="val #1"/>
                <v:f eqn="val #2"/>
                <v:f eqn="val width"/>
                <v:f eqn="val height"/>
                <v:f eqn="prod width 1 8"/>
                <v:f eqn="prod width 1 2"/>
                <v:f eqn="prod width 7 8"/>
                <v:f eqn="prod width 3 2"/>
                <v:f eqn="sum 0 0 @6"/>
                <v:f eqn="sum height 0 #2"/>
                <v:f eqn="prod @10 30573 4096"/>
                <v:f eqn="prod @11 2 1"/>
                <v:f eqn="sum height 0 @12"/>
                <v:f eqn="sum @11 #2 0"/>
                <v:f eqn="sum @11 height #1"/>
                <v:f eqn="sum height 0 #1"/>
                <v:f eqn="prod @16 1 2"/>
                <v:f eqn="sum @11 @17 0"/>
                <v:f eqn="sum @14 #1 height"/>
                <v:f eqn="sum #0 @5 0"/>
                <v:f eqn="sum width 0 @20"/>
                <v:f eqn="sum width 0 #0"/>
                <v:f eqn="sum @6 0 #0"/>
                <v:f eqn="ellipse @23 width @11"/>
                <v:f eqn="sum @24 height @11"/>
                <v:f eqn="sum @25 @11 @19"/>
                <v:f eqn="sum #2 @11 @19"/>
                <v:f eqn="prod @11 2391 32768"/>
                <v:f eqn="sum @6 0 @20"/>
                <v:f eqn="ellipse @29 width @11"/>
                <v:f eqn="sum #1 @30 @11"/>
                <v:f eqn="sum @25 #1 height"/>
                <v:f eqn="sum height @30 @14"/>
                <v:f eqn="sum @11 @14 0"/>
                <v:f eqn="sum height 0 @34"/>
                <v:f eqn="sum @35 @19 @11"/>
                <v:f eqn="sum @10 @15 @11"/>
                <v:f eqn="sum @35 @15 @11"/>
                <v:f eqn="sum @28 @14 @18"/>
                <v:f eqn="sum height 0 @39"/>
                <v:f eqn="sum @19 0 @18"/>
                <v:f eqn="prod @41 2 3"/>
                <v:f eqn="sum #1 0 @42"/>
                <v:f eqn="sum #2 0 @42"/>
                <v:f eqn="min @44 20925"/>
                <v:f eqn="prod width 3 8"/>
                <v:f eqn="sum @46 0 4"/>
              </v:formulas>
              <v:path o:extrusionok="f" o:connecttype="custom" o:connectlocs="@6,@1;@5,@40;@6,@4;@7,@40" o:connectangles="270,180,90,0" textboxrect="@0,@1,@22,@25"/>
              <v:handles>
                <v:h position="#0,bottomRight" xrange="@5,@47"/>
                <v:h position="center,#1" yrange="@10,@43"/>
                <v:h position="topLeft,#2" yrange="@27,@45"/>
              </v:handles>
              <o:complex v:ext="view"/>
            </v:shapetype>
            <v:shape id="_x0000_s2049" type="#_x0000_t107" style="position:absolute;left:0;text-align:left;margin-left:0;margin-top:0;width:101pt;height:27.05pt;rotation:360;z-index:251660288;mso-position-horizontal:center;mso-position-horizontal-relative:margin;mso-position-vertical:center;mso-position-vertical-relative:bottom-margin-area" filled="f" fillcolor="#17365d [2415]" strokecolor="#71a0dc [1631]">
              <v:textbox style="mso-next-textbox:#_x0000_s2049">
                <w:txbxContent>
                  <w:p w:rsidR="00F2093A" w:rsidRDefault="001A5B0B">
                    <w:pPr>
                      <w:jc w:val="center"/>
                      <w:rPr>
                        <w:color w:val="4F81BD" w:themeColor="accent1"/>
                      </w:rPr>
                    </w:pPr>
                    <w:r>
                      <w:fldChar w:fldCharType="begin"/>
                    </w:r>
                    <w:r>
                      <w:instrText xml:space="preserve"> PAGE    \* MERGEFORMAT </w:instrText>
                    </w:r>
                    <w:r>
                      <w:fldChar w:fldCharType="separate"/>
                    </w:r>
                    <w:r w:rsidR="008E6331" w:rsidRPr="008E6331">
                      <w:rPr>
                        <w:noProof/>
                        <w:color w:val="4F81BD" w:themeColor="accent1"/>
                      </w:rPr>
                      <w:t>7</w:t>
                    </w:r>
                    <w:r>
                      <w:rPr>
                        <w:noProof/>
                        <w:color w:val="4F81BD" w:themeColor="accent1"/>
                      </w:rPr>
                      <w:fldChar w:fldCharType="end"/>
                    </w:r>
                  </w:p>
                </w:txbxContent>
              </v:textbox>
              <w10:wrap anchorx="margin" anchory="page"/>
            </v:shape>
          </w:pic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07D3" w:rsidRDefault="001D07D3">
      <w:r>
        <w:separator/>
      </w:r>
    </w:p>
  </w:footnote>
  <w:footnote w:type="continuationSeparator" w:id="0">
    <w:p w:rsidR="001D07D3" w:rsidRDefault="001D07D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0F663A92"/>
    <w:lvl w:ilvl="0" w:tplc="497A20F2">
      <w:start w:val="1"/>
      <w:numFmt w:val="upperLetter"/>
      <w:lvlText w:val="%1-"/>
      <w:lvlJc w:val="left"/>
      <w:pPr>
        <w:ind w:left="644" w:hanging="360"/>
      </w:pPr>
      <w:rPr>
        <w:rFonts w:hint="default"/>
        <w:b w:val="0"/>
        <w:bCs/>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716013E"/>
    <w:multiLevelType w:val="hybridMultilevel"/>
    <w:tmpl w:val="83BADE3A"/>
    <w:lvl w:ilvl="0" w:tplc="77E29B68">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1">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3">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5">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9">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3">
    <w:nsid w:val="70F95A01"/>
    <w:multiLevelType w:val="hybridMultilevel"/>
    <w:tmpl w:val="29060EB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7"/>
  </w:num>
  <w:num w:numId="2">
    <w:abstractNumId w:val="13"/>
  </w:num>
  <w:num w:numId="3">
    <w:abstractNumId w:val="21"/>
  </w:num>
  <w:num w:numId="4">
    <w:abstractNumId w:val="20"/>
  </w:num>
  <w:num w:numId="5">
    <w:abstractNumId w:val="5"/>
  </w:num>
  <w:num w:numId="6">
    <w:abstractNumId w:val="14"/>
  </w:num>
  <w:num w:numId="7">
    <w:abstractNumId w:val="19"/>
  </w:num>
  <w:num w:numId="8">
    <w:abstractNumId w:val="4"/>
  </w:num>
  <w:num w:numId="9">
    <w:abstractNumId w:val="3"/>
  </w:num>
  <w:num w:numId="10">
    <w:abstractNumId w:val="16"/>
  </w:num>
  <w:num w:numId="11">
    <w:abstractNumId w:val="6"/>
  </w:num>
  <w:num w:numId="12">
    <w:abstractNumId w:val="8"/>
  </w:num>
  <w:num w:numId="13">
    <w:abstractNumId w:val="10"/>
  </w:num>
  <w:num w:numId="14">
    <w:abstractNumId w:val="22"/>
  </w:num>
  <w:num w:numId="15">
    <w:abstractNumId w:val="2"/>
  </w:num>
  <w:num w:numId="16">
    <w:abstractNumId w:val="1"/>
  </w:num>
  <w:num w:numId="17">
    <w:abstractNumId w:val="11"/>
  </w:num>
  <w:num w:numId="18">
    <w:abstractNumId w:val="12"/>
  </w:num>
  <w:num w:numId="19">
    <w:abstractNumId w:val="0"/>
  </w:num>
  <w:num w:numId="20">
    <w:abstractNumId w:val="18"/>
  </w:num>
  <w:num w:numId="21">
    <w:abstractNumId w:val="23"/>
  </w:num>
  <w:num w:numId="22">
    <w:abstractNumId w:val="15"/>
  </w:num>
  <w:num w:numId="23">
    <w:abstractNumId w:val="17"/>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D20427"/>
    <w:rsid w:val="0000131C"/>
    <w:rsid w:val="00004062"/>
    <w:rsid w:val="00005615"/>
    <w:rsid w:val="000063AF"/>
    <w:rsid w:val="00007D26"/>
    <w:rsid w:val="00013D30"/>
    <w:rsid w:val="00016908"/>
    <w:rsid w:val="00023477"/>
    <w:rsid w:val="00026E26"/>
    <w:rsid w:val="00030ABE"/>
    <w:rsid w:val="00033357"/>
    <w:rsid w:val="00033823"/>
    <w:rsid w:val="00036698"/>
    <w:rsid w:val="00037965"/>
    <w:rsid w:val="00050832"/>
    <w:rsid w:val="00050A6F"/>
    <w:rsid w:val="00051F89"/>
    <w:rsid w:val="00052CA2"/>
    <w:rsid w:val="000620E1"/>
    <w:rsid w:val="00062B8C"/>
    <w:rsid w:val="00070AE4"/>
    <w:rsid w:val="00085832"/>
    <w:rsid w:val="00087BD6"/>
    <w:rsid w:val="00094AAE"/>
    <w:rsid w:val="000965CE"/>
    <w:rsid w:val="00096F8F"/>
    <w:rsid w:val="000A0824"/>
    <w:rsid w:val="000A2091"/>
    <w:rsid w:val="000B0633"/>
    <w:rsid w:val="000C06E7"/>
    <w:rsid w:val="000C3C64"/>
    <w:rsid w:val="000D39DF"/>
    <w:rsid w:val="000D586E"/>
    <w:rsid w:val="000E193A"/>
    <w:rsid w:val="000E26EF"/>
    <w:rsid w:val="000E4CBF"/>
    <w:rsid w:val="000E5F1E"/>
    <w:rsid w:val="000F5FAF"/>
    <w:rsid w:val="00106C87"/>
    <w:rsid w:val="00115515"/>
    <w:rsid w:val="00120C7B"/>
    <w:rsid w:val="001250BF"/>
    <w:rsid w:val="00125A05"/>
    <w:rsid w:val="00126DC2"/>
    <w:rsid w:val="00132634"/>
    <w:rsid w:val="00132637"/>
    <w:rsid w:val="00133C5E"/>
    <w:rsid w:val="00137452"/>
    <w:rsid w:val="00144516"/>
    <w:rsid w:val="00144B8C"/>
    <w:rsid w:val="00144ECC"/>
    <w:rsid w:val="00155520"/>
    <w:rsid w:val="00160560"/>
    <w:rsid w:val="001647D3"/>
    <w:rsid w:val="00165AEA"/>
    <w:rsid w:val="001806CC"/>
    <w:rsid w:val="001815D5"/>
    <w:rsid w:val="00182D68"/>
    <w:rsid w:val="00182FC5"/>
    <w:rsid w:val="00183C75"/>
    <w:rsid w:val="001843E8"/>
    <w:rsid w:val="00184657"/>
    <w:rsid w:val="001859ED"/>
    <w:rsid w:val="00186484"/>
    <w:rsid w:val="00186523"/>
    <w:rsid w:val="00193016"/>
    <w:rsid w:val="001A5B0B"/>
    <w:rsid w:val="001A681B"/>
    <w:rsid w:val="001B0A5A"/>
    <w:rsid w:val="001B5924"/>
    <w:rsid w:val="001B5FA4"/>
    <w:rsid w:val="001D07D3"/>
    <w:rsid w:val="001D0F9B"/>
    <w:rsid w:val="001E1D01"/>
    <w:rsid w:val="001E2768"/>
    <w:rsid w:val="001E28D4"/>
    <w:rsid w:val="001F01B3"/>
    <w:rsid w:val="001F1DC9"/>
    <w:rsid w:val="001F2A81"/>
    <w:rsid w:val="001F2F77"/>
    <w:rsid w:val="001F325F"/>
    <w:rsid w:val="001F5710"/>
    <w:rsid w:val="00203B4E"/>
    <w:rsid w:val="00204872"/>
    <w:rsid w:val="00204DDC"/>
    <w:rsid w:val="00221CC9"/>
    <w:rsid w:val="00222E71"/>
    <w:rsid w:val="00225CAC"/>
    <w:rsid w:val="00232FC2"/>
    <w:rsid w:val="00233AA5"/>
    <w:rsid w:val="00235C06"/>
    <w:rsid w:val="00236F3D"/>
    <w:rsid w:val="0024261B"/>
    <w:rsid w:val="002463CE"/>
    <w:rsid w:val="00246B73"/>
    <w:rsid w:val="00255978"/>
    <w:rsid w:val="00262BE8"/>
    <w:rsid w:val="002742DC"/>
    <w:rsid w:val="00281CCD"/>
    <w:rsid w:val="002835E9"/>
    <w:rsid w:val="00292F7A"/>
    <w:rsid w:val="002A26B3"/>
    <w:rsid w:val="002A7024"/>
    <w:rsid w:val="002B74F2"/>
    <w:rsid w:val="002C1C31"/>
    <w:rsid w:val="002C3E20"/>
    <w:rsid w:val="002C758B"/>
    <w:rsid w:val="002C7D77"/>
    <w:rsid w:val="002D13EE"/>
    <w:rsid w:val="002D21C1"/>
    <w:rsid w:val="002E3A56"/>
    <w:rsid w:val="002F0217"/>
    <w:rsid w:val="002F0EB1"/>
    <w:rsid w:val="002F17EB"/>
    <w:rsid w:val="00301B4A"/>
    <w:rsid w:val="0031474D"/>
    <w:rsid w:val="00326E81"/>
    <w:rsid w:val="00327F51"/>
    <w:rsid w:val="0033538A"/>
    <w:rsid w:val="00335D50"/>
    <w:rsid w:val="0035315A"/>
    <w:rsid w:val="00353A05"/>
    <w:rsid w:val="00355A1C"/>
    <w:rsid w:val="003724A0"/>
    <w:rsid w:val="00376450"/>
    <w:rsid w:val="00390D00"/>
    <w:rsid w:val="003A2EA2"/>
    <w:rsid w:val="003A65A3"/>
    <w:rsid w:val="003A66A8"/>
    <w:rsid w:val="003A6C24"/>
    <w:rsid w:val="003B29AF"/>
    <w:rsid w:val="003C03FE"/>
    <w:rsid w:val="003C4CF2"/>
    <w:rsid w:val="003D4C6A"/>
    <w:rsid w:val="003E02EB"/>
    <w:rsid w:val="003F4912"/>
    <w:rsid w:val="003F4D7D"/>
    <w:rsid w:val="00405DE4"/>
    <w:rsid w:val="00420CB3"/>
    <w:rsid w:val="004222E7"/>
    <w:rsid w:val="0042267C"/>
    <w:rsid w:val="00423807"/>
    <w:rsid w:val="0043380B"/>
    <w:rsid w:val="004356CE"/>
    <w:rsid w:val="004525F6"/>
    <w:rsid w:val="00455868"/>
    <w:rsid w:val="00460553"/>
    <w:rsid w:val="00462313"/>
    <w:rsid w:val="00466467"/>
    <w:rsid w:val="00473504"/>
    <w:rsid w:val="0047379C"/>
    <w:rsid w:val="00476AB2"/>
    <w:rsid w:val="00485701"/>
    <w:rsid w:val="00492571"/>
    <w:rsid w:val="0049308E"/>
    <w:rsid w:val="00496622"/>
    <w:rsid w:val="00497C3C"/>
    <w:rsid w:val="004A1C9D"/>
    <w:rsid w:val="004A36F2"/>
    <w:rsid w:val="004A40FB"/>
    <w:rsid w:val="004A7D4B"/>
    <w:rsid w:val="004B4C75"/>
    <w:rsid w:val="004B4D14"/>
    <w:rsid w:val="004B5200"/>
    <w:rsid w:val="004C03A0"/>
    <w:rsid w:val="004D0E17"/>
    <w:rsid w:val="004D4AE8"/>
    <w:rsid w:val="004E21EE"/>
    <w:rsid w:val="004E4B9D"/>
    <w:rsid w:val="004E69E6"/>
    <w:rsid w:val="004F45D9"/>
    <w:rsid w:val="00503730"/>
    <w:rsid w:val="0050658C"/>
    <w:rsid w:val="00506D1C"/>
    <w:rsid w:val="00507BA6"/>
    <w:rsid w:val="00513987"/>
    <w:rsid w:val="005236D4"/>
    <w:rsid w:val="00533F46"/>
    <w:rsid w:val="00535957"/>
    <w:rsid w:val="005362CA"/>
    <w:rsid w:val="00537A99"/>
    <w:rsid w:val="00542342"/>
    <w:rsid w:val="00545671"/>
    <w:rsid w:val="0054760A"/>
    <w:rsid w:val="00553698"/>
    <w:rsid w:val="00560DB9"/>
    <w:rsid w:val="005620C2"/>
    <w:rsid w:val="0056220F"/>
    <w:rsid w:val="005647D2"/>
    <w:rsid w:val="00566FAB"/>
    <w:rsid w:val="00570727"/>
    <w:rsid w:val="00575002"/>
    <w:rsid w:val="0057694E"/>
    <w:rsid w:val="00580605"/>
    <w:rsid w:val="00582315"/>
    <w:rsid w:val="00584B0B"/>
    <w:rsid w:val="00587F4F"/>
    <w:rsid w:val="00590C6E"/>
    <w:rsid w:val="00591DCB"/>
    <w:rsid w:val="00592904"/>
    <w:rsid w:val="00595DC4"/>
    <w:rsid w:val="005967CA"/>
    <w:rsid w:val="005A1554"/>
    <w:rsid w:val="005B00B5"/>
    <w:rsid w:val="005B3465"/>
    <w:rsid w:val="005B5348"/>
    <w:rsid w:val="005B7246"/>
    <w:rsid w:val="005C77F4"/>
    <w:rsid w:val="005C7DA1"/>
    <w:rsid w:val="005D192F"/>
    <w:rsid w:val="005D4025"/>
    <w:rsid w:val="005D66B2"/>
    <w:rsid w:val="005E135E"/>
    <w:rsid w:val="005F4D99"/>
    <w:rsid w:val="005F7A9E"/>
    <w:rsid w:val="00604C28"/>
    <w:rsid w:val="00612776"/>
    <w:rsid w:val="00613D6D"/>
    <w:rsid w:val="00616EB0"/>
    <w:rsid w:val="00625045"/>
    <w:rsid w:val="00634A4F"/>
    <w:rsid w:val="00637D90"/>
    <w:rsid w:val="00643C41"/>
    <w:rsid w:val="00646F32"/>
    <w:rsid w:val="00656960"/>
    <w:rsid w:val="006715D0"/>
    <w:rsid w:val="006758F2"/>
    <w:rsid w:val="00683DAF"/>
    <w:rsid w:val="006846C7"/>
    <w:rsid w:val="00685869"/>
    <w:rsid w:val="006903A2"/>
    <w:rsid w:val="006A017A"/>
    <w:rsid w:val="006A197C"/>
    <w:rsid w:val="006B00A6"/>
    <w:rsid w:val="006B1677"/>
    <w:rsid w:val="006B1B44"/>
    <w:rsid w:val="006B2A5D"/>
    <w:rsid w:val="006B3428"/>
    <w:rsid w:val="006B4A7A"/>
    <w:rsid w:val="006B58BD"/>
    <w:rsid w:val="006C5122"/>
    <w:rsid w:val="006D0702"/>
    <w:rsid w:val="006D4E1B"/>
    <w:rsid w:val="006D590A"/>
    <w:rsid w:val="006E70C1"/>
    <w:rsid w:val="006F32DE"/>
    <w:rsid w:val="006F39A6"/>
    <w:rsid w:val="006F3C45"/>
    <w:rsid w:val="0070399C"/>
    <w:rsid w:val="00710CD2"/>
    <w:rsid w:val="00716DBA"/>
    <w:rsid w:val="00720424"/>
    <w:rsid w:val="00720659"/>
    <w:rsid w:val="0072256F"/>
    <w:rsid w:val="00723357"/>
    <w:rsid w:val="007239B5"/>
    <w:rsid w:val="00732ACC"/>
    <w:rsid w:val="00745114"/>
    <w:rsid w:val="00756981"/>
    <w:rsid w:val="00766002"/>
    <w:rsid w:val="0077195A"/>
    <w:rsid w:val="00773074"/>
    <w:rsid w:val="00774164"/>
    <w:rsid w:val="007742B3"/>
    <w:rsid w:val="0077568A"/>
    <w:rsid w:val="00777AB3"/>
    <w:rsid w:val="00793698"/>
    <w:rsid w:val="00794E2A"/>
    <w:rsid w:val="007A3F3B"/>
    <w:rsid w:val="007B0092"/>
    <w:rsid w:val="007B0585"/>
    <w:rsid w:val="007B206D"/>
    <w:rsid w:val="007B27EF"/>
    <w:rsid w:val="007B421F"/>
    <w:rsid w:val="007D28E2"/>
    <w:rsid w:val="007D7225"/>
    <w:rsid w:val="007E2176"/>
    <w:rsid w:val="007E2E33"/>
    <w:rsid w:val="007E6F72"/>
    <w:rsid w:val="007F2309"/>
    <w:rsid w:val="007F3869"/>
    <w:rsid w:val="007F4EAF"/>
    <w:rsid w:val="007F6311"/>
    <w:rsid w:val="008036A6"/>
    <w:rsid w:val="0080655D"/>
    <w:rsid w:val="008108FD"/>
    <w:rsid w:val="008132F8"/>
    <w:rsid w:val="00826DEA"/>
    <w:rsid w:val="00850994"/>
    <w:rsid w:val="00853DF4"/>
    <w:rsid w:val="0085469A"/>
    <w:rsid w:val="00856E9C"/>
    <w:rsid w:val="00861684"/>
    <w:rsid w:val="00863F58"/>
    <w:rsid w:val="008742D1"/>
    <w:rsid w:val="008774D2"/>
    <w:rsid w:val="008800BB"/>
    <w:rsid w:val="00887516"/>
    <w:rsid w:val="0088769C"/>
    <w:rsid w:val="00887DE6"/>
    <w:rsid w:val="00895135"/>
    <w:rsid w:val="008A2654"/>
    <w:rsid w:val="008A273C"/>
    <w:rsid w:val="008A3283"/>
    <w:rsid w:val="008C02C1"/>
    <w:rsid w:val="008C0E59"/>
    <w:rsid w:val="008C1877"/>
    <w:rsid w:val="008D5551"/>
    <w:rsid w:val="008D63CE"/>
    <w:rsid w:val="008D73CF"/>
    <w:rsid w:val="008E13FB"/>
    <w:rsid w:val="008E320E"/>
    <w:rsid w:val="008E3D6E"/>
    <w:rsid w:val="008E4EDB"/>
    <w:rsid w:val="008E6331"/>
    <w:rsid w:val="009068EF"/>
    <w:rsid w:val="00910C68"/>
    <w:rsid w:val="0091261E"/>
    <w:rsid w:val="00913CAF"/>
    <w:rsid w:val="00917B6B"/>
    <w:rsid w:val="009349D2"/>
    <w:rsid w:val="00940AFB"/>
    <w:rsid w:val="00944A01"/>
    <w:rsid w:val="00945D1D"/>
    <w:rsid w:val="00947C12"/>
    <w:rsid w:val="009511B3"/>
    <w:rsid w:val="00954B8A"/>
    <w:rsid w:val="00956D50"/>
    <w:rsid w:val="00960267"/>
    <w:rsid w:val="0096167D"/>
    <w:rsid w:val="00962902"/>
    <w:rsid w:val="009661D4"/>
    <w:rsid w:val="00974CC2"/>
    <w:rsid w:val="009858FB"/>
    <w:rsid w:val="0099338A"/>
    <w:rsid w:val="00994FC6"/>
    <w:rsid w:val="0099544C"/>
    <w:rsid w:val="009964D4"/>
    <w:rsid w:val="009A11FF"/>
    <w:rsid w:val="009A27F4"/>
    <w:rsid w:val="009B79F6"/>
    <w:rsid w:val="009C0776"/>
    <w:rsid w:val="009C2BE9"/>
    <w:rsid w:val="009D16EC"/>
    <w:rsid w:val="009D6EE0"/>
    <w:rsid w:val="009E31CB"/>
    <w:rsid w:val="009E408C"/>
    <w:rsid w:val="009E676E"/>
    <w:rsid w:val="009E7188"/>
    <w:rsid w:val="00A04732"/>
    <w:rsid w:val="00A0743A"/>
    <w:rsid w:val="00A15DA2"/>
    <w:rsid w:val="00A16FB3"/>
    <w:rsid w:val="00A21372"/>
    <w:rsid w:val="00A22A83"/>
    <w:rsid w:val="00A3247C"/>
    <w:rsid w:val="00A50F41"/>
    <w:rsid w:val="00A557B1"/>
    <w:rsid w:val="00A6010D"/>
    <w:rsid w:val="00A67A38"/>
    <w:rsid w:val="00A809EF"/>
    <w:rsid w:val="00A816A9"/>
    <w:rsid w:val="00A874EF"/>
    <w:rsid w:val="00A877C0"/>
    <w:rsid w:val="00A87EB2"/>
    <w:rsid w:val="00A9380F"/>
    <w:rsid w:val="00A93B5E"/>
    <w:rsid w:val="00A96F15"/>
    <w:rsid w:val="00AB1EC1"/>
    <w:rsid w:val="00AB293A"/>
    <w:rsid w:val="00AC0960"/>
    <w:rsid w:val="00AD19A3"/>
    <w:rsid w:val="00AD323B"/>
    <w:rsid w:val="00AD738A"/>
    <w:rsid w:val="00AE121D"/>
    <w:rsid w:val="00AE170E"/>
    <w:rsid w:val="00AE5EA5"/>
    <w:rsid w:val="00AF0C00"/>
    <w:rsid w:val="00AF144B"/>
    <w:rsid w:val="00AF4F27"/>
    <w:rsid w:val="00AF60D8"/>
    <w:rsid w:val="00B00049"/>
    <w:rsid w:val="00B006DB"/>
    <w:rsid w:val="00B038AA"/>
    <w:rsid w:val="00B07970"/>
    <w:rsid w:val="00B117A3"/>
    <w:rsid w:val="00B237C2"/>
    <w:rsid w:val="00B243DF"/>
    <w:rsid w:val="00B25CAC"/>
    <w:rsid w:val="00B373CC"/>
    <w:rsid w:val="00B46A03"/>
    <w:rsid w:val="00B53072"/>
    <w:rsid w:val="00B5445B"/>
    <w:rsid w:val="00B55F0E"/>
    <w:rsid w:val="00B6360C"/>
    <w:rsid w:val="00B63E24"/>
    <w:rsid w:val="00B64D05"/>
    <w:rsid w:val="00B736DB"/>
    <w:rsid w:val="00B80DDA"/>
    <w:rsid w:val="00B8192A"/>
    <w:rsid w:val="00B82990"/>
    <w:rsid w:val="00BB03BD"/>
    <w:rsid w:val="00BB1CBD"/>
    <w:rsid w:val="00BB1DE0"/>
    <w:rsid w:val="00BB579D"/>
    <w:rsid w:val="00BC6A25"/>
    <w:rsid w:val="00BD225B"/>
    <w:rsid w:val="00BD5107"/>
    <w:rsid w:val="00BE3198"/>
    <w:rsid w:val="00BF3BA0"/>
    <w:rsid w:val="00BF4FE1"/>
    <w:rsid w:val="00C00450"/>
    <w:rsid w:val="00C03186"/>
    <w:rsid w:val="00C074FE"/>
    <w:rsid w:val="00C105D8"/>
    <w:rsid w:val="00C113D7"/>
    <w:rsid w:val="00C11657"/>
    <w:rsid w:val="00C11CB1"/>
    <w:rsid w:val="00C16754"/>
    <w:rsid w:val="00C2200B"/>
    <w:rsid w:val="00C336B3"/>
    <w:rsid w:val="00C354A9"/>
    <w:rsid w:val="00C36EFC"/>
    <w:rsid w:val="00C440DE"/>
    <w:rsid w:val="00C567DB"/>
    <w:rsid w:val="00C722D4"/>
    <w:rsid w:val="00C73DED"/>
    <w:rsid w:val="00C745F8"/>
    <w:rsid w:val="00C908AD"/>
    <w:rsid w:val="00CA15AC"/>
    <w:rsid w:val="00CB203A"/>
    <w:rsid w:val="00CC7471"/>
    <w:rsid w:val="00CD04A3"/>
    <w:rsid w:val="00CD069B"/>
    <w:rsid w:val="00CD18B8"/>
    <w:rsid w:val="00CD2F77"/>
    <w:rsid w:val="00CD625B"/>
    <w:rsid w:val="00CF593C"/>
    <w:rsid w:val="00CF79D4"/>
    <w:rsid w:val="00D000EE"/>
    <w:rsid w:val="00D05738"/>
    <w:rsid w:val="00D05E43"/>
    <w:rsid w:val="00D070CA"/>
    <w:rsid w:val="00D14748"/>
    <w:rsid w:val="00D20427"/>
    <w:rsid w:val="00D31830"/>
    <w:rsid w:val="00D43DFD"/>
    <w:rsid w:val="00D50A03"/>
    <w:rsid w:val="00D632C1"/>
    <w:rsid w:val="00D635FD"/>
    <w:rsid w:val="00D70BA7"/>
    <w:rsid w:val="00D77049"/>
    <w:rsid w:val="00D80724"/>
    <w:rsid w:val="00D81FAC"/>
    <w:rsid w:val="00D83EB9"/>
    <w:rsid w:val="00D84F33"/>
    <w:rsid w:val="00DA1F6B"/>
    <w:rsid w:val="00DB7656"/>
    <w:rsid w:val="00DC00AA"/>
    <w:rsid w:val="00DC1D1A"/>
    <w:rsid w:val="00DC62C0"/>
    <w:rsid w:val="00DC6FC5"/>
    <w:rsid w:val="00DD0D87"/>
    <w:rsid w:val="00DD21A1"/>
    <w:rsid w:val="00DD5C05"/>
    <w:rsid w:val="00DE60FE"/>
    <w:rsid w:val="00DF77FF"/>
    <w:rsid w:val="00E06ECB"/>
    <w:rsid w:val="00E13006"/>
    <w:rsid w:val="00E165BF"/>
    <w:rsid w:val="00E21AAA"/>
    <w:rsid w:val="00E46B21"/>
    <w:rsid w:val="00E6769F"/>
    <w:rsid w:val="00E72D93"/>
    <w:rsid w:val="00E769A8"/>
    <w:rsid w:val="00E80ECA"/>
    <w:rsid w:val="00E852BB"/>
    <w:rsid w:val="00E8778E"/>
    <w:rsid w:val="00E90867"/>
    <w:rsid w:val="00E96642"/>
    <w:rsid w:val="00EA1261"/>
    <w:rsid w:val="00EA1E35"/>
    <w:rsid w:val="00EA2EF0"/>
    <w:rsid w:val="00EE252B"/>
    <w:rsid w:val="00EE4754"/>
    <w:rsid w:val="00EF0A18"/>
    <w:rsid w:val="00EF0B9A"/>
    <w:rsid w:val="00EF208E"/>
    <w:rsid w:val="00EF442F"/>
    <w:rsid w:val="00EF5290"/>
    <w:rsid w:val="00F05B06"/>
    <w:rsid w:val="00F2093A"/>
    <w:rsid w:val="00F220FF"/>
    <w:rsid w:val="00F2752B"/>
    <w:rsid w:val="00F30551"/>
    <w:rsid w:val="00F46AC3"/>
    <w:rsid w:val="00F46E7D"/>
    <w:rsid w:val="00F47737"/>
    <w:rsid w:val="00F47E90"/>
    <w:rsid w:val="00F47EB3"/>
    <w:rsid w:val="00F56200"/>
    <w:rsid w:val="00F6169B"/>
    <w:rsid w:val="00F61928"/>
    <w:rsid w:val="00F65192"/>
    <w:rsid w:val="00F66AFA"/>
    <w:rsid w:val="00F75276"/>
    <w:rsid w:val="00F75958"/>
    <w:rsid w:val="00F80CEA"/>
    <w:rsid w:val="00FB080D"/>
    <w:rsid w:val="00FB449E"/>
    <w:rsid w:val="00FB7A59"/>
    <w:rsid w:val="00FC110C"/>
    <w:rsid w:val="00FC3072"/>
    <w:rsid w:val="00FC6180"/>
    <w:rsid w:val="00FC723F"/>
    <w:rsid w:val="00FD507D"/>
    <w:rsid w:val="00FE014A"/>
    <w:rsid w:val="00FE1269"/>
    <w:rsid w:val="00FE1649"/>
    <w:rsid w:val="00FE3C60"/>
    <w:rsid w:val="00FE7CF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278414380">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www.marchespublics.gov.ma"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D0DD3E-3578-4E0F-ABB3-9145591C6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1351</TotalTime>
  <Pages>7</Pages>
  <Words>2743</Words>
  <Characters>15090</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17798</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101</cp:revision>
  <cp:lastPrinted>2022-10-11T09:29:00Z</cp:lastPrinted>
  <dcterms:created xsi:type="dcterms:W3CDTF">2019-08-26T09:55:00Z</dcterms:created>
  <dcterms:modified xsi:type="dcterms:W3CDTF">2022-10-19T10:39:00Z</dcterms:modified>
</cp:coreProperties>
</file>