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3538A" w:rsidRDefault="0033538A"/>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06"/>
        <w:gridCol w:w="5141"/>
      </w:tblGrid>
      <w:tr w:rsidR="009964D4" w:rsidTr="00DD21A1">
        <w:tc>
          <w:tcPr>
            <w:tcW w:w="4606" w:type="dxa"/>
            <w:tcBorders>
              <w:top w:val="single" w:sz="4" w:space="0" w:color="FFFFFF"/>
              <w:left w:val="single" w:sz="4" w:space="0" w:color="FFFFFF"/>
              <w:bottom w:val="single" w:sz="4" w:space="0" w:color="FFFFFF"/>
              <w:right w:val="single" w:sz="4" w:space="0" w:color="FFFFFF"/>
            </w:tcBorders>
          </w:tcPr>
          <w:p w:rsidR="009964D4" w:rsidRPr="00DD21A1" w:rsidRDefault="009964D4" w:rsidP="00C354A9">
            <w:pPr>
              <w:tabs>
                <w:tab w:val="left" w:pos="648"/>
              </w:tabs>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Royaume du Maroc</w:t>
            </w:r>
          </w:p>
          <w:p w:rsidR="009964D4" w:rsidRPr="00DD21A1" w:rsidRDefault="007239B5"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Ministère</w:t>
            </w:r>
            <w:r w:rsidR="009964D4" w:rsidRPr="00DD21A1">
              <w:rPr>
                <w:rFonts w:ascii="Myriad Pro" w:eastAsia="Calibri" w:hAnsi="Myriad Pro" w:cs="Arial"/>
                <w:sz w:val="20"/>
                <w:szCs w:val="20"/>
                <w:lang w:eastAsia="en-US"/>
              </w:rPr>
              <w:t xml:space="preserve"> de L’</w:t>
            </w:r>
            <w:r w:rsidRPr="00DD21A1">
              <w:rPr>
                <w:rFonts w:ascii="Myriad Pro" w:eastAsia="Calibri" w:hAnsi="Myriad Pro" w:cs="Arial"/>
                <w:sz w:val="20"/>
                <w:szCs w:val="20"/>
                <w:lang w:eastAsia="en-US"/>
              </w:rPr>
              <w:t>intérieur</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Préfecture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Commune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 xml:space="preserve">Direction Générale des Services                                                 </w:t>
            </w:r>
          </w:p>
          <w:p w:rsidR="009964D4" w:rsidRPr="00DD21A1" w:rsidRDefault="009964D4" w:rsidP="00D84F33">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D</w:t>
            </w:r>
            <w:r w:rsidR="00D84F33">
              <w:rPr>
                <w:rFonts w:ascii="Myriad Pro" w:eastAsia="Calibri" w:hAnsi="Myriad Pro" w:cs="Arial"/>
                <w:sz w:val="20"/>
                <w:szCs w:val="20"/>
                <w:lang w:eastAsia="en-US"/>
              </w:rPr>
              <w:t>TAU</w:t>
            </w:r>
          </w:p>
          <w:p w:rsidR="009964D4" w:rsidRPr="00DD21A1" w:rsidRDefault="009964D4" w:rsidP="00DD21A1">
            <w:pPr>
              <w:spacing w:line="240" w:lineRule="exact"/>
              <w:rPr>
                <w:rFonts w:ascii="Myriad Pro" w:eastAsia="Calibri" w:hAnsi="Myriad Pro" w:cs="Arial"/>
                <w:lang w:eastAsia="en-US"/>
              </w:rPr>
            </w:pPr>
          </w:p>
        </w:tc>
        <w:tc>
          <w:tcPr>
            <w:tcW w:w="5141" w:type="dxa"/>
            <w:tcBorders>
              <w:top w:val="nil"/>
              <w:left w:val="single" w:sz="4" w:space="0" w:color="FFFFFF"/>
              <w:bottom w:val="nil"/>
              <w:right w:val="nil"/>
            </w:tcBorders>
            <w:hideMark/>
          </w:tcPr>
          <w:p w:rsidR="009964D4" w:rsidRPr="00DD21A1" w:rsidRDefault="009661D4" w:rsidP="00DD21A1">
            <w:pPr>
              <w:jc w:val="right"/>
              <w:rPr>
                <w:rFonts w:ascii="Calibri" w:eastAsia="Calibri" w:hAnsi="Calibri" w:cs="Arial"/>
                <w:sz w:val="22"/>
                <w:szCs w:val="22"/>
                <w:lang w:eastAsia="en-US"/>
              </w:rPr>
            </w:pPr>
            <w:r>
              <w:rPr>
                <w:rFonts w:ascii="Calibri" w:eastAsia="Calibri" w:hAnsi="Calibri" w:cs="Arial"/>
                <w:noProof/>
                <w:sz w:val="22"/>
                <w:szCs w:val="22"/>
              </w:rPr>
              <w:drawing>
                <wp:inline distT="0" distB="0" distL="0" distR="0">
                  <wp:extent cx="1668780" cy="1295400"/>
                  <wp:effectExtent l="0" t="0" r="0" b="0"/>
                  <wp:docPr id="1"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7"/>
                          <a:srcRect/>
                          <a:stretch>
                            <a:fillRect/>
                          </a:stretch>
                        </pic:blipFill>
                        <pic:spPr bwMode="auto">
                          <a:xfrm>
                            <a:off x="0" y="0"/>
                            <a:ext cx="1668780" cy="1295400"/>
                          </a:xfrm>
                          <a:prstGeom prst="rect">
                            <a:avLst/>
                          </a:prstGeom>
                          <a:noFill/>
                          <a:ln w="9525">
                            <a:noFill/>
                            <a:miter lim="800000"/>
                            <a:headEnd/>
                            <a:tailEnd/>
                          </a:ln>
                        </pic:spPr>
                      </pic:pic>
                    </a:graphicData>
                  </a:graphic>
                </wp:inline>
              </w:drawing>
            </w:r>
          </w:p>
        </w:tc>
      </w:tr>
    </w:tbl>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9964D4">
      <w:pPr>
        <w:autoSpaceDE w:val="0"/>
        <w:autoSpaceDN w:val="0"/>
        <w:adjustRightInd w:val="0"/>
        <w:spacing w:line="260" w:lineRule="exact"/>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1F1DC9" w:rsidRPr="00606173" w:rsidRDefault="001F1DC9" w:rsidP="005A1554">
      <w:pPr>
        <w:ind w:left="2900" w:firstLine="708"/>
        <w:rPr>
          <w:b/>
          <w:bCs/>
        </w:rPr>
      </w:pPr>
      <w:r w:rsidRPr="00606173">
        <w:rPr>
          <w:b/>
          <w:bCs/>
        </w:rPr>
        <w:t xml:space="preserve">CHAPITRE       </w:t>
      </w:r>
      <w:r w:rsidRPr="00606173">
        <w:rPr>
          <w:b/>
          <w:bCs/>
        </w:rPr>
        <w:tab/>
        <w:t xml:space="preserve">: </w:t>
      </w:r>
    </w:p>
    <w:p w:rsidR="001F1DC9" w:rsidRPr="00606173" w:rsidRDefault="001F1DC9" w:rsidP="005A1554">
      <w:pPr>
        <w:ind w:left="2900" w:firstLine="708"/>
        <w:rPr>
          <w:b/>
          <w:bCs/>
        </w:rPr>
      </w:pPr>
      <w:r w:rsidRPr="00606173">
        <w:rPr>
          <w:b/>
          <w:bCs/>
        </w:rPr>
        <w:t xml:space="preserve">ARTICLE         </w:t>
      </w:r>
      <w:r w:rsidRPr="00606173">
        <w:rPr>
          <w:b/>
          <w:bCs/>
        </w:rPr>
        <w:tab/>
        <w:t xml:space="preserve">: </w:t>
      </w:r>
    </w:p>
    <w:p w:rsidR="001F1DC9" w:rsidRDefault="001F1DC9" w:rsidP="005A1554">
      <w:pPr>
        <w:ind w:left="2900" w:firstLine="708"/>
        <w:rPr>
          <w:b/>
          <w:bCs/>
        </w:rPr>
      </w:pPr>
      <w:r>
        <w:rPr>
          <w:b/>
          <w:bCs/>
        </w:rPr>
        <w:t xml:space="preserve">PROJET                         </w:t>
      </w:r>
      <w:r w:rsidRPr="00606173">
        <w:rPr>
          <w:b/>
          <w:bCs/>
        </w:rPr>
        <w:tab/>
        <w:t xml:space="preserve">: </w:t>
      </w:r>
    </w:p>
    <w:p w:rsidR="001F1DC9" w:rsidRPr="00606173" w:rsidRDefault="001F1DC9" w:rsidP="006B4A7A">
      <w:pPr>
        <w:ind w:left="2900" w:firstLine="708"/>
        <w:rPr>
          <w:b/>
        </w:rPr>
      </w:pPr>
      <w:r>
        <w:rPr>
          <w:b/>
          <w:bCs/>
        </w:rPr>
        <w:t xml:space="preserve">LIGNE BUDGETAIRE     : </w:t>
      </w: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8A273C">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3F0468">
        <w:rPr>
          <w:rFonts w:ascii="Century Gothic" w:hAnsi="Century Gothic" w:cs="Tahoma"/>
          <w:b/>
          <w:bCs/>
          <w:sz w:val="28"/>
          <w:szCs w:val="28"/>
        </w:rPr>
        <w:t>04</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9A27F4">
        <w:rPr>
          <w:rFonts w:ascii="Century Gothic" w:hAnsi="Century Gothic" w:cs="Tahoma"/>
          <w:b/>
          <w:bCs/>
          <w:sz w:val="28"/>
          <w:szCs w:val="28"/>
        </w:rPr>
        <w:t>21</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p>
    <w:p w:rsidR="000E26EF" w:rsidRPr="003E02EB" w:rsidRDefault="000E26EF" w:rsidP="006B1B44">
      <w:pPr>
        <w:jc w:val="center"/>
        <w:rPr>
          <w:rFonts w:ascii="Century Gothic" w:hAnsi="Century Gothic" w:cs="Arial"/>
          <w:b/>
          <w:bCs/>
          <w:sz w:val="28"/>
          <w:szCs w:val="28"/>
        </w:rPr>
      </w:pPr>
    </w:p>
    <w:p w:rsidR="00962902" w:rsidRPr="00703F4A" w:rsidRDefault="00962902" w:rsidP="00962902">
      <w:pPr>
        <w:jc w:val="center"/>
        <w:rPr>
          <w:b/>
          <w:bCs/>
          <w:sz w:val="28"/>
          <w:szCs w:val="28"/>
        </w:rPr>
      </w:pPr>
      <w:r>
        <w:rPr>
          <w:b/>
          <w:bCs/>
          <w:sz w:val="28"/>
          <w:szCs w:val="28"/>
        </w:rPr>
        <w:t>TRAVAUX D’AMENAGEMENT DES QUARTIERS SOUS EQUIPES -AVENUE ALI BEN ABI TALIB)</w:t>
      </w:r>
    </w:p>
    <w:p w:rsidR="00956D50" w:rsidRPr="003E02EB" w:rsidRDefault="00956D50" w:rsidP="00956D50">
      <w:pPr>
        <w:spacing w:line="360" w:lineRule="auto"/>
        <w:ind w:firstLine="540"/>
        <w:jc w:val="center"/>
        <w:rPr>
          <w:rFonts w:ascii="Century Gothic" w:hAnsi="Century Gothic" w:cs="Tahoma"/>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144B8C" w:rsidP="00144B8C">
      <w:pPr>
        <w:tabs>
          <w:tab w:val="left" w:pos="7650"/>
        </w:tabs>
        <w:spacing w:line="260" w:lineRule="exact"/>
        <w:ind w:firstLine="540"/>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D070CA">
      <w:pPr>
        <w:spacing w:before="40" w:after="40" w:line="280" w:lineRule="exact"/>
        <w:jc w:val="both"/>
        <w:rPr>
          <w:rFonts w:ascii="Century Gothic" w:hAnsi="Century Gothic" w:cs="Tahoma"/>
          <w:b/>
          <w:sz w:val="18"/>
          <w:szCs w:val="18"/>
          <w:u w:val="single"/>
        </w:rPr>
      </w:pPr>
    </w:p>
    <w:p w:rsidR="000063AF" w:rsidRDefault="000063AF" w:rsidP="000063AF">
      <w:pPr>
        <w:ind w:left="426" w:firstLine="426"/>
        <w:jc w:val="both"/>
        <w:rPr>
          <w:rFonts w:ascii="Century Gothic" w:hAnsi="Century Gothic"/>
          <w:b/>
          <w:bCs/>
        </w:rPr>
      </w:pPr>
      <w:r w:rsidRPr="003E02EB">
        <w:rPr>
          <w:rFonts w:ascii="Century Gothic" w:hAnsi="Century Gothic"/>
          <w:b/>
          <w:bCs/>
        </w:rPr>
        <w:t>Marché passé par appel d’offre ouvert sur offre de prix en application l’al 2 § 1 de l’article  16 et  § 1 de l’article 17 et al. 3 § 3 de l’article  17  du décret n° 2-12-349 du 8 Joumada I 1434 (20 Mars 2013) relatif aux marchés publics</w:t>
      </w:r>
    </w:p>
    <w:p w:rsidR="00DD5C05" w:rsidRDefault="00DD5C05" w:rsidP="000063AF">
      <w:pPr>
        <w:ind w:left="426" w:firstLine="426"/>
        <w:jc w:val="both"/>
        <w:rPr>
          <w:rFonts w:ascii="Century Gothic" w:hAnsi="Century Gothic"/>
          <w:b/>
          <w:bCs/>
        </w:rPr>
      </w:pPr>
    </w:p>
    <w:p w:rsidR="00DD5C05" w:rsidRDefault="00DD5C05" w:rsidP="000063AF">
      <w:pPr>
        <w:ind w:left="426" w:firstLine="426"/>
        <w:jc w:val="both"/>
        <w:rPr>
          <w:rFonts w:ascii="Century Gothic" w:hAnsi="Century Gothic"/>
          <w:b/>
          <w:bCs/>
        </w:rPr>
      </w:pPr>
    </w:p>
    <w:p w:rsidR="00DD5C05" w:rsidRPr="003E02EB" w:rsidRDefault="00DD5C05" w:rsidP="000063AF">
      <w:pPr>
        <w:ind w:left="426" w:firstLine="426"/>
        <w:jc w:val="both"/>
        <w:rPr>
          <w:rFonts w:ascii="Century Gothic" w:hAnsi="Century Gothic"/>
          <w:b/>
          <w:bCs/>
        </w:rPr>
      </w:pPr>
    </w:p>
    <w:p w:rsidR="00D05E43" w:rsidRPr="003E02EB" w:rsidRDefault="00D05E43" w:rsidP="00A816A9">
      <w:pPr>
        <w:tabs>
          <w:tab w:val="center" w:pos="4706"/>
        </w:tabs>
        <w:spacing w:line="480" w:lineRule="auto"/>
        <w:ind w:left="540"/>
        <w:rPr>
          <w:rFonts w:ascii="Century Gothic" w:hAnsi="Century Gothic" w:cs="Tahoma"/>
          <w:b/>
          <w:bCs/>
          <w:sz w:val="36"/>
          <w:szCs w:val="36"/>
          <w:u w:val="single"/>
        </w:rPr>
      </w:pPr>
      <w:r w:rsidRPr="003E02EB">
        <w:rPr>
          <w:rFonts w:ascii="Century Gothic" w:hAnsi="Century Gothic" w:cs="Tahoma"/>
          <w:b/>
          <w:bCs/>
          <w:sz w:val="36"/>
          <w:szCs w:val="36"/>
          <w:u w:val="single"/>
        </w:rPr>
        <w:t>SOMMAIRE</w:t>
      </w:r>
    </w:p>
    <w:p w:rsidR="00553698" w:rsidRPr="003E02EB" w:rsidRDefault="00553698" w:rsidP="00553698">
      <w:pPr>
        <w:tabs>
          <w:tab w:val="center" w:pos="4706"/>
        </w:tabs>
        <w:spacing w:line="360" w:lineRule="auto"/>
        <w:ind w:left="540"/>
        <w:jc w:val="both"/>
        <w:rPr>
          <w:rFonts w:ascii="Century Gothic" w:hAnsi="Century Gothic" w:cs="Tahoma"/>
          <w:b/>
          <w:sz w:val="16"/>
          <w:szCs w:val="16"/>
        </w:rPr>
      </w:pP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9</w:t>
      </w:r>
      <w:r w:rsidRPr="003E02EB">
        <w:rPr>
          <w:rFonts w:ascii="Century Gothic" w:hAnsi="Century Gothic" w:cs="Tahoma"/>
          <w:bCs/>
          <w:sz w:val="20"/>
          <w:szCs w:val="20"/>
        </w:rPr>
        <w:t xml:space="preserve"> : DEMANDE ET COMMUNICATION D’INFORMATIONS AUX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0</w:t>
      </w:r>
      <w:r w:rsidRPr="003E02EB">
        <w:rPr>
          <w:rFonts w:ascii="Century Gothic" w:hAnsi="Century Gothic" w:cs="Tahoma"/>
          <w:bCs/>
          <w:sz w:val="20"/>
          <w:szCs w:val="20"/>
        </w:rPr>
        <w:t xml:space="preserve"> : LISTE DES PIECES JUSTIFIANT LES CAPACITES ET LES QUALITES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1</w:t>
      </w:r>
      <w:r w:rsidRPr="003E02EB">
        <w:rPr>
          <w:rFonts w:ascii="Century Gothic" w:hAnsi="Century Gothic" w:cs="Tahoma"/>
          <w:bCs/>
          <w:sz w:val="20"/>
          <w:szCs w:val="20"/>
        </w:rPr>
        <w:t xml:space="preserve"> : OFFRE FINANCIERE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2</w:t>
      </w:r>
      <w:r w:rsidRPr="003E02EB">
        <w:rPr>
          <w:rFonts w:ascii="Century Gothic" w:hAnsi="Century Gothic" w:cs="Tahoma"/>
          <w:bCs/>
          <w:sz w:val="20"/>
          <w:szCs w:val="20"/>
        </w:rPr>
        <w:t xml:space="preserve"> : PRESENTATION DES DOSSIERS DES OFFRES DES CONCURRENTS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3</w:t>
      </w:r>
      <w:r w:rsidRPr="003E02EB">
        <w:rPr>
          <w:rFonts w:ascii="Century Gothic" w:hAnsi="Century Gothic" w:cs="Tahoma"/>
          <w:bCs/>
          <w:sz w:val="20"/>
          <w:szCs w:val="20"/>
        </w:rPr>
        <w:t> : DEPOT DES PLIS DES CONCURRENTS</w:t>
      </w:r>
    </w:p>
    <w:p w:rsidR="00D70BA7" w:rsidRPr="003E02EB" w:rsidRDefault="00D70BA7" w:rsidP="00C354A9">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4</w:t>
      </w:r>
      <w:r w:rsidRPr="003E02EB">
        <w:rPr>
          <w:rFonts w:ascii="Century Gothic" w:hAnsi="Century Gothic" w:cs="Tahoma"/>
          <w:bCs/>
          <w:sz w:val="20"/>
          <w:szCs w:val="20"/>
        </w:rPr>
        <w:t xml:space="preserve"> : RETRAIT DES PLIS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5</w:t>
      </w:r>
      <w:r w:rsidRPr="003E02EB">
        <w:rPr>
          <w:rFonts w:ascii="Century Gothic" w:hAnsi="Century Gothic" w:cs="Tahoma"/>
          <w:bCs/>
          <w:sz w:val="20"/>
          <w:szCs w:val="20"/>
        </w:rPr>
        <w:t xml:space="preserve"> : OUVERTURE ET EXAMEN DES OFFRES ET APPRECIATION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CAPACITES DES SOUMISSIONNAIRES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004062">
        <w:rPr>
          <w:rFonts w:ascii="Century Gothic" w:hAnsi="Century Gothic" w:cs="Tahoma"/>
          <w:bCs/>
          <w:sz w:val="20"/>
          <w:szCs w:val="20"/>
        </w:rPr>
        <w:t>6</w:t>
      </w:r>
      <w:r w:rsidRPr="003E02EB">
        <w:rPr>
          <w:rFonts w:ascii="Century Gothic" w:hAnsi="Century Gothic" w:cs="Tahoma"/>
          <w:bCs/>
          <w:sz w:val="20"/>
          <w:szCs w:val="20"/>
        </w:rPr>
        <w:t> : EXAMEN DES OFFRES FINANCIERES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004062">
        <w:rPr>
          <w:rFonts w:ascii="Century Gothic" w:hAnsi="Century Gothic" w:cs="Tahoma"/>
          <w:bCs/>
          <w:sz w:val="20"/>
          <w:szCs w:val="20"/>
        </w:rPr>
        <w:t>7</w:t>
      </w:r>
      <w:r w:rsidRPr="003E02EB">
        <w:rPr>
          <w:rFonts w:ascii="Century Gothic" w:hAnsi="Century Gothic" w:cs="Tahoma"/>
          <w:bCs/>
          <w:sz w:val="20"/>
          <w:szCs w:val="20"/>
        </w:rPr>
        <w:t> : DELAI DE VALIDITE DES OFFRES</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004062">
        <w:rPr>
          <w:rFonts w:ascii="Century Gothic" w:hAnsi="Century Gothic" w:cs="Tahoma"/>
          <w:bCs/>
          <w:sz w:val="20"/>
          <w:szCs w:val="20"/>
        </w:rPr>
        <w:t>18</w:t>
      </w:r>
      <w:r w:rsidRPr="003E02EB">
        <w:rPr>
          <w:rFonts w:ascii="Century Gothic" w:hAnsi="Century Gothic" w:cs="Tahoma"/>
          <w:bCs/>
          <w:sz w:val="20"/>
          <w:szCs w:val="20"/>
        </w:rPr>
        <w:t xml:space="preserve"> : MONNAIE DE FORMULATION DES OFFRES </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004062">
        <w:rPr>
          <w:rFonts w:ascii="Century Gothic" w:hAnsi="Century Gothic" w:cs="Tahoma"/>
          <w:bCs/>
          <w:sz w:val="20"/>
          <w:szCs w:val="20"/>
        </w:rPr>
        <w:t>19</w:t>
      </w:r>
      <w:r w:rsidRPr="003E02EB">
        <w:rPr>
          <w:rFonts w:ascii="Century Gothic" w:hAnsi="Century Gothic" w:cs="Tahoma"/>
          <w:bCs/>
          <w:sz w:val="20"/>
          <w:szCs w:val="20"/>
        </w:rPr>
        <w:t xml:space="preserve"> : LANGUE D’ETABLISSEMENT DES PIECES ET DES OFFRES</w:t>
      </w:r>
    </w:p>
    <w:p w:rsidR="00D70BA7" w:rsidRDefault="00D70BA7"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sidR="00004062">
        <w:rPr>
          <w:rFonts w:ascii="Century Gothic" w:hAnsi="Century Gothic" w:cs="Tahoma"/>
          <w:bCs/>
          <w:color w:val="000000"/>
          <w:sz w:val="20"/>
          <w:szCs w:val="20"/>
        </w:rPr>
        <w:t xml:space="preserve">0 </w:t>
      </w:r>
      <w:r w:rsidRPr="003E02EB">
        <w:rPr>
          <w:rFonts w:ascii="Century Gothic" w:hAnsi="Century Gothic" w:cs="Tahoma"/>
          <w:bCs/>
          <w:color w:val="000000"/>
          <w:sz w:val="20"/>
          <w:szCs w:val="20"/>
        </w:rPr>
        <w:t>: PREFERENCE EN FAVEUR DE L’ENTREPRISE NATIONALE</w:t>
      </w:r>
    </w:p>
    <w:p w:rsidR="00D70BA7" w:rsidRPr="003E02EB" w:rsidRDefault="00D70BA7" w:rsidP="00D70BA7">
      <w:pPr>
        <w:rPr>
          <w:rFonts w:ascii="Century Gothic" w:hAnsi="Century Gothic"/>
          <w:sz w:val="20"/>
          <w:szCs w:val="20"/>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rPr>
          <w:rFonts w:ascii="Century Gothic" w:hAnsi="Century Gothic" w:cs="Tahoma"/>
          <w:b/>
          <w:bCs/>
          <w:sz w:val="28"/>
          <w:szCs w:val="28"/>
          <w:u w:val="single"/>
        </w:rPr>
      </w:pPr>
    </w:p>
    <w:p w:rsidR="00D70BA7" w:rsidRPr="003E02EB" w:rsidRDefault="00D70BA7" w:rsidP="00D70BA7">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D070CA" w:rsidRDefault="00D70BA7" w:rsidP="003F0468">
      <w:pPr>
        <w:jc w:val="center"/>
        <w:rPr>
          <w:rFonts w:ascii="Century Gothic" w:hAnsi="Century Gothic" w:cs="Tahoma"/>
          <w:sz w:val="20"/>
          <w:szCs w:val="20"/>
        </w:rPr>
      </w:pPr>
      <w:r w:rsidRPr="003E02EB">
        <w:rPr>
          <w:rFonts w:ascii="Century Gothic" w:hAnsi="Century Gothic" w:cs="Tahoma"/>
          <w:sz w:val="20"/>
          <w:szCs w:val="20"/>
        </w:rPr>
        <w:t xml:space="preserve"> Le présent règlement de consultation concerne l’appel d’offre ouvert n° </w:t>
      </w:r>
      <w:r w:rsidR="003F0468">
        <w:rPr>
          <w:rFonts w:ascii="Century Gothic" w:hAnsi="Century Gothic" w:cs="Tahoma"/>
          <w:sz w:val="20"/>
          <w:szCs w:val="20"/>
        </w:rPr>
        <w:t>04</w:t>
      </w:r>
      <w:r w:rsidRPr="003E02EB">
        <w:rPr>
          <w:rFonts w:ascii="Century Gothic" w:hAnsi="Century Gothic" w:cs="Tahoma"/>
          <w:sz w:val="20"/>
          <w:szCs w:val="20"/>
        </w:rPr>
        <w:t>/CS/20</w:t>
      </w:r>
      <w:r w:rsidR="009A27F4">
        <w:rPr>
          <w:rFonts w:ascii="Century Gothic" w:hAnsi="Century Gothic" w:cs="Tahoma"/>
          <w:sz w:val="20"/>
          <w:szCs w:val="20"/>
        </w:rPr>
        <w:t>21</w:t>
      </w:r>
      <w:r w:rsidRPr="003E02EB">
        <w:rPr>
          <w:rFonts w:ascii="Century Gothic" w:hAnsi="Century Gothic" w:cs="Tahoma"/>
          <w:sz w:val="20"/>
          <w:szCs w:val="20"/>
        </w:rPr>
        <w:t xml:space="preserve"> ayant pour objet :</w:t>
      </w:r>
    </w:p>
    <w:p w:rsidR="00D70BA7" w:rsidRPr="00D070CA" w:rsidRDefault="00962902" w:rsidP="00962902">
      <w:pPr>
        <w:rPr>
          <w:b/>
          <w:bCs/>
          <w:sz w:val="20"/>
          <w:szCs w:val="20"/>
        </w:rPr>
      </w:pPr>
      <w:r w:rsidRPr="00962902">
        <w:rPr>
          <w:b/>
          <w:bCs/>
          <w:sz w:val="20"/>
          <w:szCs w:val="20"/>
        </w:rPr>
        <w:t>TRAVAUX D’AMENAGEMENT DES QUARTIERS SOUS EQUIPES -AVENUE ALI BEN ABI TALIB)</w:t>
      </w:r>
      <w:r>
        <w:rPr>
          <w:b/>
          <w:bCs/>
          <w:sz w:val="20"/>
          <w:szCs w:val="20"/>
        </w:rPr>
        <w:t>.</w:t>
      </w:r>
      <w:r w:rsidR="00004062" w:rsidRPr="003E02EB">
        <w:rPr>
          <w:rFonts w:ascii="Century Gothic" w:hAnsi="Century Gothic" w:cs="Tahoma"/>
          <w:sz w:val="20"/>
          <w:szCs w:val="20"/>
        </w:rPr>
        <w:t xml:space="preserve"> Il</w:t>
      </w:r>
      <w:r w:rsidR="00D70BA7" w:rsidRPr="003E02EB">
        <w:rPr>
          <w:rFonts w:ascii="Century Gothic" w:hAnsi="Century Gothic" w:cs="Tahoma"/>
          <w:sz w:val="20"/>
          <w:szCs w:val="20"/>
        </w:rPr>
        <w:t xml:space="preserve"> a été établi en vertu  des dispositions de l’article 18 du décret n° 2-12-349  du 20 MARS 2013 relatif aux marchés publics.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D70BA7" w:rsidRDefault="00D70BA7" w:rsidP="00D70BA7">
      <w:pPr>
        <w:tabs>
          <w:tab w:val="center" w:pos="4706"/>
        </w:tabs>
        <w:spacing w:line="240" w:lineRule="exact"/>
        <w:jc w:val="both"/>
        <w:rPr>
          <w:rFonts w:ascii="Century Gothic" w:hAnsi="Century Gothic" w:cs="Tahoma"/>
          <w:b/>
          <w:bCs/>
          <w:sz w:val="20"/>
          <w:szCs w:val="20"/>
          <w:u w:val="single"/>
        </w:rPr>
      </w:pPr>
    </w:p>
    <w:p w:rsidR="00D70BA7" w:rsidRPr="003E02EB" w:rsidRDefault="00D70BA7" w:rsidP="00D70BA7">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sidR="00591DCB">
        <w:rPr>
          <w:rFonts w:ascii="Century Gothic" w:hAnsi="Century Gothic" w:cs="Tahoma"/>
          <w:sz w:val="20"/>
          <w:szCs w:val="20"/>
        </w:rPr>
        <w:t>représenté</w:t>
      </w:r>
      <w:r w:rsidR="00036698">
        <w:rPr>
          <w:rFonts w:ascii="Century Gothic" w:hAnsi="Century Gothic" w:cs="Tahoma"/>
          <w:sz w:val="20"/>
          <w:szCs w:val="20"/>
        </w:rPr>
        <w:t>e</w:t>
      </w:r>
      <w:r w:rsidR="00591DCB">
        <w:rPr>
          <w:rFonts w:ascii="Century Gothic" w:hAnsi="Century Gothic" w:cs="Tahoma"/>
          <w:sz w:val="20"/>
          <w:szCs w:val="20"/>
        </w:rPr>
        <w:t xml:space="preserve"> par son président en qualité d’Ordonnateur</w:t>
      </w:r>
      <w:r w:rsidRPr="003E02EB">
        <w:rPr>
          <w:rFonts w:ascii="Century Gothic" w:hAnsi="Century Gothic" w:cs="Tahoma"/>
          <w:sz w:val="20"/>
          <w:szCs w:val="20"/>
        </w:rPr>
        <w:t>.</w:t>
      </w:r>
    </w:p>
    <w:p w:rsidR="00D70BA7" w:rsidRDefault="00D70BA7" w:rsidP="00D70BA7">
      <w:pPr>
        <w:rPr>
          <w:rFonts w:ascii="Century Gothic" w:hAnsi="Century Gothic" w:cs="Tahoma"/>
          <w:b/>
          <w:bCs/>
          <w:smallCaps/>
          <w:sz w:val="20"/>
          <w:szCs w:val="20"/>
          <w:u w:val="single"/>
        </w:rPr>
      </w:pPr>
    </w:p>
    <w:p w:rsidR="00D70BA7" w:rsidRPr="00A816A9" w:rsidRDefault="00D70BA7" w:rsidP="00A816A9">
      <w:pPr>
        <w:autoSpaceDE w:val="0"/>
        <w:autoSpaceDN w:val="0"/>
        <w:adjustRightInd w:val="0"/>
        <w:spacing w:line="240" w:lineRule="exact"/>
        <w:jc w:val="both"/>
        <w:rPr>
          <w:rFonts w:ascii="Century Gothic" w:hAnsi="Century Gothic" w:cs="Tahoma"/>
          <w:b/>
          <w:bCs/>
          <w:sz w:val="20"/>
          <w:szCs w:val="20"/>
          <w:u w:val="single"/>
        </w:rPr>
      </w:pPr>
      <w:r w:rsidRPr="00A816A9">
        <w:rPr>
          <w:rFonts w:ascii="Century Gothic" w:hAnsi="Century Gothic" w:cs="Tahoma"/>
          <w:b/>
          <w:bCs/>
          <w:sz w:val="20"/>
          <w:szCs w:val="20"/>
          <w:u w:val="single"/>
        </w:rPr>
        <w:t>Article 4 : Conditions requises des concurrents</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D70BA7" w:rsidRPr="003E02EB" w:rsidRDefault="00D70BA7" w:rsidP="00D70BA7">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D70BA7" w:rsidRPr="003E02EB" w:rsidRDefault="00D70BA7" w:rsidP="00D70BA7">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D70BA7" w:rsidRPr="003E02EB" w:rsidRDefault="00D70BA7" w:rsidP="00D70BA7">
      <w:pPr>
        <w:tabs>
          <w:tab w:val="left" w:pos="4253"/>
        </w:tabs>
        <w:ind w:left="720"/>
        <w:rPr>
          <w:rFonts w:ascii="Century Gothic" w:hAnsi="Century Gothic" w:cs="Tahoma"/>
          <w:snapToGrid w:val="0"/>
          <w:sz w:val="8"/>
          <w:szCs w:val="8"/>
          <w:lang w:eastAsia="ar-SA"/>
        </w:rPr>
      </w:pPr>
    </w:p>
    <w:p w:rsidR="00D70BA7" w:rsidRPr="003E02EB" w:rsidRDefault="00D70BA7" w:rsidP="00D70BA7">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D70BA7" w:rsidRPr="003E02EB" w:rsidRDefault="00D70BA7" w:rsidP="003724A0">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sidR="003724A0">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sidR="003724A0">
        <w:rPr>
          <w:rFonts w:ascii="Century Gothic" w:hAnsi="Century Gothic" w:cs="Tahoma"/>
          <w:snapToGrid w:val="0"/>
          <w:sz w:val="20"/>
          <w:szCs w:val="20"/>
          <w:lang w:eastAsia="ar-SA"/>
        </w:rPr>
        <w:t xml:space="preserve"> organique N°113-14 relative aux communes.</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5 : Groupement d’entreprises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D70BA7" w:rsidRPr="003E02EB" w:rsidRDefault="00D70BA7" w:rsidP="00AF144B">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2-12-349 précité le dossier d’appel d’offres comprend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 de l’avis d’appel d’offres</w:t>
      </w:r>
      <w:r w:rsidR="00AF144B">
        <w:rPr>
          <w:rFonts w:ascii="Century Gothic" w:hAnsi="Century Gothic" w:cs="Tahoma"/>
          <w:sz w:val="20"/>
          <w:szCs w:val="20"/>
        </w:rPr>
        <w:t> </w:t>
      </w:r>
      <w:r w:rsidR="007E2E33">
        <w:rPr>
          <w:rFonts w:ascii="Century Gothic" w:hAnsi="Century Gothic" w:cs="Tahoma"/>
          <w:sz w:val="20"/>
          <w:szCs w:val="20"/>
        </w:rPr>
        <w:t>en arabe et en français</w:t>
      </w:r>
      <w:r w:rsidR="00AF144B">
        <w:rPr>
          <w:rFonts w:ascii="Century Gothic" w:hAnsi="Century Gothic" w:cs="Tahoma"/>
          <w:sz w:val="20"/>
          <w:szCs w:val="20"/>
        </w:rPr>
        <w:t>;</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b. Un exemplaire du cahier des prescriptions spéciales</w:t>
      </w:r>
      <w:r w:rsidR="00AF144B">
        <w:rPr>
          <w:rFonts w:ascii="Century Gothic" w:hAnsi="Century Gothic" w:cs="Tahoma"/>
          <w:sz w:val="20"/>
          <w:szCs w:val="20"/>
        </w:rPr>
        <w:t>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c. Le modèle de l’acte d’engagement</w:t>
      </w:r>
      <w:r w:rsidR="00AF144B">
        <w:rPr>
          <w:rFonts w:ascii="Century Gothic" w:hAnsi="Century Gothic" w:cs="Tahoma"/>
          <w:sz w:val="20"/>
          <w:szCs w:val="20"/>
        </w:rPr>
        <w:t>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d. Le bordereau des prix et le détail estimatif</w:t>
      </w:r>
      <w:r w:rsidR="00AF144B">
        <w:rPr>
          <w:rFonts w:ascii="Century Gothic" w:hAnsi="Century Gothic" w:cs="Tahoma"/>
          <w:sz w:val="20"/>
          <w:szCs w:val="20"/>
        </w:rPr>
        <w:t> ;</w:t>
      </w:r>
    </w:p>
    <w:p w:rsidR="00D70BA7" w:rsidRPr="003E02EB" w:rsidRDefault="00D70BA7" w:rsidP="00D70BA7">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f. Le présent règlement de consultation</w:t>
      </w:r>
      <w:r w:rsidR="00AF144B">
        <w:rPr>
          <w:rFonts w:ascii="Century Gothic" w:hAnsi="Century Gothic" w:cs="Tahoma"/>
          <w:sz w:val="20"/>
          <w:szCs w:val="20"/>
        </w:rPr>
        <w:t>.</w:t>
      </w:r>
    </w:p>
    <w:p w:rsidR="00D70BA7" w:rsidRPr="003E02EB" w:rsidRDefault="00D70BA7" w:rsidP="00D70BA7">
      <w:pPr>
        <w:autoSpaceDE w:val="0"/>
        <w:autoSpaceDN w:val="0"/>
        <w:adjustRightInd w:val="0"/>
        <w:jc w:val="both"/>
        <w:rPr>
          <w:rFonts w:ascii="Century Gothic" w:hAnsi="Century Gothic" w:cs="Tahoma"/>
          <w:sz w:val="8"/>
          <w:szCs w:val="8"/>
        </w:rPr>
      </w:pPr>
    </w:p>
    <w:p w:rsidR="00D70BA7" w:rsidRPr="0057694E" w:rsidRDefault="00D70BA7" w:rsidP="00D70BA7">
      <w:pPr>
        <w:pStyle w:val="StyleNB"/>
        <w:rPr>
          <w:rFonts w:ascii="Century Gothic" w:hAnsi="Century Gothic" w:cs="Tahoma"/>
          <w:sz w:val="10"/>
          <w:szCs w:val="10"/>
        </w:rPr>
      </w:pPr>
    </w:p>
    <w:p w:rsidR="00D70BA7" w:rsidRPr="003E02EB" w:rsidRDefault="00D70BA7" w:rsidP="00D70BA7">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D70BA7" w:rsidRPr="003E02EB" w:rsidRDefault="00D70BA7" w:rsidP="006B2A5D">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Le dossier d’appel d’offres est mis à la disposition des concurrents </w:t>
      </w:r>
      <w:r w:rsidR="00AF144B">
        <w:rPr>
          <w:rFonts w:ascii="Century Gothic" w:hAnsi="Century Gothic" w:cs="Tahoma"/>
          <w:bCs/>
          <w:iCs/>
          <w:sz w:val="20"/>
          <w:szCs w:val="20"/>
        </w:rPr>
        <w:t xml:space="preserve">conformément </w:t>
      </w:r>
      <w:r w:rsidR="006B2A5D">
        <w:rPr>
          <w:rFonts w:ascii="Century Gothic" w:hAnsi="Century Gothic" w:cs="Tahoma"/>
          <w:bCs/>
          <w:iCs/>
          <w:sz w:val="20"/>
          <w:szCs w:val="20"/>
        </w:rPr>
        <w:t>au paragraphe 3 Article 19 du décret des marchés 2.12.349</w:t>
      </w:r>
      <w:r w:rsidR="00AF144B">
        <w:rPr>
          <w:rFonts w:ascii="Century Gothic" w:hAnsi="Century Gothic" w:cs="Tahoma"/>
          <w:bCs/>
          <w:iCs/>
          <w:sz w:val="20"/>
          <w:szCs w:val="20"/>
        </w:rPr>
        <w:t xml:space="preserve">, </w:t>
      </w:r>
      <w:r w:rsidRPr="003E02EB">
        <w:rPr>
          <w:rFonts w:ascii="Century Gothic" w:hAnsi="Century Gothic" w:cs="Tahoma"/>
          <w:bCs/>
          <w:iCs/>
          <w:sz w:val="20"/>
          <w:szCs w:val="20"/>
        </w:rPr>
        <w:t xml:space="preserve">dans le bureau du Service des Marchés, au siège de la commune de Salé sis à la place BabBouhaja, Salé,  dès la parution de l’avis d’appel d’offres au portail des marchés </w:t>
      </w:r>
      <w:r w:rsidR="00AF144B">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D70BA7" w:rsidRPr="003E02EB" w:rsidRDefault="00D70BA7" w:rsidP="00D70BA7">
      <w:pPr>
        <w:pStyle w:val="Corpsdetexte"/>
        <w:rPr>
          <w:rFonts w:ascii="Century Gothic" w:hAnsi="Century Gothic" w:cs="Tahoma"/>
          <w:b/>
          <w:i/>
          <w:sz w:val="8"/>
          <w:szCs w:val="8"/>
        </w:rPr>
      </w:pPr>
    </w:p>
    <w:p w:rsidR="00D70BA7" w:rsidRPr="003E02EB" w:rsidRDefault="00D70BA7" w:rsidP="00D70BA7">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D70BA7" w:rsidRDefault="00D70BA7" w:rsidP="00C440DE">
      <w:pPr>
        <w:jc w:val="both"/>
        <w:rPr>
          <w:rFonts w:ascii="Century Gothic" w:hAnsi="Century Gothic" w:cs="Tahoma"/>
          <w:sz w:val="20"/>
          <w:szCs w:val="20"/>
        </w:rPr>
      </w:pPr>
      <w:r w:rsidRPr="003E02EB">
        <w:rPr>
          <w:rFonts w:ascii="Century Gothic" w:hAnsi="Century Gothic" w:cs="Tahoma"/>
          <w:sz w:val="20"/>
          <w:szCs w:val="20"/>
        </w:rPr>
        <w:t xml:space="preserve">Le dossier d’appel d’offres peut être téléchargé sur le portail des marchés </w:t>
      </w:r>
      <w:r w:rsidR="00AF144B">
        <w:rPr>
          <w:rFonts w:ascii="Century Gothic" w:hAnsi="Century Gothic" w:cs="Tahoma"/>
          <w:sz w:val="20"/>
          <w:szCs w:val="20"/>
        </w:rPr>
        <w:t>publics</w:t>
      </w:r>
      <w:r w:rsidRPr="003E02EB">
        <w:rPr>
          <w:rFonts w:ascii="Century Gothic" w:hAnsi="Century Gothic" w:cs="Tahoma"/>
          <w:sz w:val="20"/>
          <w:szCs w:val="20"/>
        </w:rPr>
        <w:t xml:space="preserve">  (</w:t>
      </w:r>
      <w:hyperlink r:id="rId8"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036698" w:rsidRPr="00C440DE" w:rsidRDefault="00036698" w:rsidP="00C440DE">
      <w:pPr>
        <w:jc w:val="both"/>
        <w:rPr>
          <w:rFonts w:ascii="Century Gothic" w:hAnsi="Century Gothic" w:cs="Tahoma"/>
          <w:sz w:val="20"/>
          <w:szCs w:val="20"/>
        </w:rPr>
      </w:pPr>
    </w:p>
    <w:p w:rsidR="00DD5C05" w:rsidRDefault="00DD5C05" w:rsidP="00D70BA7">
      <w:pPr>
        <w:autoSpaceDE w:val="0"/>
        <w:autoSpaceDN w:val="0"/>
        <w:adjustRightInd w:val="0"/>
        <w:jc w:val="both"/>
        <w:rPr>
          <w:rFonts w:ascii="Century Gothic" w:hAnsi="Century Gothic" w:cs="Tahoma"/>
          <w:b/>
          <w:bCs/>
          <w:sz w:val="20"/>
          <w:szCs w:val="20"/>
          <w:u w:val="single"/>
        </w:rPr>
      </w:pPr>
    </w:p>
    <w:p w:rsidR="00D70BA7" w:rsidRPr="003E02EB" w:rsidRDefault="00D70BA7" w:rsidP="00D70BA7">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8 : MODIFICATION DU CONTENU DU DOSSIER D’APPEL D’OFFRES </w:t>
      </w:r>
    </w:p>
    <w:p w:rsidR="00D70BA7" w:rsidRPr="003E02EB" w:rsidRDefault="00D70BA7" w:rsidP="00D70BA7">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D70BA7" w:rsidRDefault="00D70BA7" w:rsidP="00D70BA7">
      <w:pPr>
        <w:jc w:val="lowKashida"/>
        <w:rPr>
          <w:rFonts w:ascii="Century Gothic" w:hAnsi="Century Gothic" w:cs="Tahoma"/>
          <w:b/>
          <w:bCs/>
          <w:smallCaps/>
          <w:sz w:val="20"/>
          <w:szCs w:val="20"/>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w:t>
      </w:r>
      <w:r w:rsidR="007E2E33" w:rsidRPr="003E02EB">
        <w:rPr>
          <w:rFonts w:ascii="Century Gothic" w:hAnsi="Century Gothic" w:cs="Tahoma"/>
          <w:b/>
          <w:bCs/>
          <w:sz w:val="20"/>
          <w:szCs w:val="20"/>
          <w:u w:val="single"/>
        </w:rPr>
        <w:t>DEMANDE ET COMMUNICATION D’INFORMATIONS AUX CONCURRENTS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D70BA7" w:rsidRPr="003E02EB" w:rsidRDefault="00D70BA7" w:rsidP="003724A0">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sidR="003724A0">
        <w:rPr>
          <w:rFonts w:ascii="Century Gothic" w:hAnsi="Century Gothic" w:cs="Tahoma"/>
          <w:sz w:val="20"/>
          <w:szCs w:val="20"/>
        </w:rPr>
        <w:t>publics</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0</w:t>
      </w:r>
      <w:r w:rsidRPr="003E02EB">
        <w:rPr>
          <w:rFonts w:ascii="Century Gothic" w:hAnsi="Century Gothic" w:cs="Tahoma"/>
          <w:b/>
          <w:bCs/>
          <w:sz w:val="20"/>
          <w:szCs w:val="20"/>
          <w:u w:val="single"/>
        </w:rPr>
        <w:t xml:space="preserve"> : LISTE DES PIECES JUSTIFIANT LES CAPACITES ET LES QUALITES DES CONCURRENTS </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Conformément aux dispositions de l’article 25 du décret n° 2-12-349 du 20-03-2013, les pièces à fournir par les concurrents sont:</w:t>
      </w:r>
    </w:p>
    <w:p w:rsidR="00D70BA7" w:rsidRDefault="00D70BA7" w:rsidP="00D70BA7">
      <w:pPr>
        <w:widowControl w:val="0"/>
        <w:jc w:val="both"/>
        <w:rPr>
          <w:rFonts w:ascii="Century Gothic" w:hAnsi="Century Gothic" w:cs="Tahoma"/>
          <w:b/>
          <w:snapToGrid w:val="0"/>
          <w:sz w:val="20"/>
          <w:szCs w:val="20"/>
          <w:u w:val="single"/>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1 - Un dossier  Administratif  comprenant :</w:t>
      </w: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chaque concurrent au moment de la présentation des offres :</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 déclaration sur l’honneur en un seul exemplaire comprenant les mentions prévues à l’article 26 du décret </w:t>
      </w:r>
      <w:r w:rsidRPr="003E02EB">
        <w:rPr>
          <w:rFonts w:ascii="Century Gothic" w:hAnsi="Century Gothic" w:cs="Tahoma"/>
          <w:sz w:val="20"/>
          <w:szCs w:val="20"/>
        </w:rPr>
        <w:t>n° 2-12-349 précité</w:t>
      </w:r>
      <w:r w:rsidRPr="003E02EB">
        <w:rPr>
          <w:rFonts w:ascii="Century Gothic" w:hAnsi="Century Gothic" w:cs="Tahoma"/>
          <w:snapToGrid w:val="0"/>
          <w:sz w:val="20"/>
          <w:szCs w:val="20"/>
        </w:rPr>
        <w:t>;</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L’original du récépissé du cautionnement provisoire ou l’attestation de la caution personnelle et solidaire</w:t>
      </w:r>
    </w:p>
    <w:p w:rsidR="00D70BA7"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Pour les groupements une copie légalisée de la convention constitutive du groupement prévue à l’art 157 du décret 2-12-349 </w:t>
      </w:r>
      <w:r w:rsidRPr="003E02EB">
        <w:rPr>
          <w:rFonts w:ascii="Century Gothic" w:hAnsi="Century Gothic" w:cs="Tahoma"/>
          <w:sz w:val="20"/>
          <w:szCs w:val="20"/>
        </w:rPr>
        <w:t>précité</w:t>
      </w:r>
      <w:r w:rsidRPr="003E02EB">
        <w:rPr>
          <w:rFonts w:ascii="Century Gothic" w:hAnsi="Century Gothic" w:cs="Tahoma"/>
          <w:snapToGrid w:val="0"/>
          <w:sz w:val="20"/>
          <w:szCs w:val="20"/>
        </w:rPr>
        <w:t>.</w:t>
      </w:r>
    </w:p>
    <w:p w:rsidR="0056220F" w:rsidRPr="003E02EB" w:rsidRDefault="0056220F"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Pr>
          <w:rFonts w:ascii="Eras Medium ITC" w:hAnsi="Eras Medium ITC"/>
        </w:rPr>
        <w:t xml:space="preserve">lorsque le concurrent est un établissement </w:t>
      </w:r>
      <w:r w:rsidR="00616EB0">
        <w:rPr>
          <w:rFonts w:ascii="Eras Medium ITC" w:hAnsi="Eras Medium ITC"/>
        </w:rPr>
        <w:t>public,</w:t>
      </w:r>
      <w:r>
        <w:rPr>
          <w:rFonts w:ascii="Eras Medium ITC" w:hAnsi="Eras Medium ITC"/>
        </w:rPr>
        <w:t xml:space="preserve"> une copie du texte l’habilitant à exécuter les prestations objet du </w:t>
      </w:r>
      <w:r w:rsidR="00616EB0">
        <w:rPr>
          <w:rFonts w:ascii="Eras Medium ITC" w:hAnsi="Eras Medium ITC"/>
        </w:rPr>
        <w:t>marché.</w:t>
      </w:r>
    </w:p>
    <w:p w:rsidR="00D70BA7" w:rsidRPr="003E02EB" w:rsidRDefault="00D70BA7" w:rsidP="00D70BA7">
      <w:pPr>
        <w:widowControl w:val="0"/>
        <w:ind w:left="360"/>
        <w:jc w:val="both"/>
        <w:rPr>
          <w:rFonts w:ascii="Century Gothic" w:hAnsi="Century Gothic" w:cs="Tahoma"/>
          <w:snapToGrid w:val="0"/>
          <w:sz w:val="8"/>
          <w:szCs w:val="8"/>
        </w:rPr>
      </w:pP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le concurrent auquel il est envisagé d’attribuer le marché :</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La ou les pièces justifiant les pouvoirs conférées à la personne agissant au non du concurrent suivant l’art 25 A 2 a </w:t>
      </w:r>
      <w:r w:rsidRPr="003E02EB">
        <w:rPr>
          <w:rFonts w:ascii="Century Gothic" w:hAnsi="Century Gothic" w:cs="Tahoma"/>
          <w:snapToGrid w:val="0"/>
          <w:sz w:val="20"/>
          <w:szCs w:val="20"/>
        </w:rPr>
        <w:t xml:space="preserve">du décret </w:t>
      </w:r>
      <w:r w:rsidRPr="003E02EB">
        <w:rPr>
          <w:rFonts w:ascii="Century Gothic" w:hAnsi="Century Gothic" w:cs="Tahoma"/>
          <w:sz w:val="20"/>
          <w:szCs w:val="20"/>
        </w:rPr>
        <w:t>n° 2-12-349 précité</w:t>
      </w:r>
      <w:r w:rsidRPr="003E02EB">
        <w:rPr>
          <w:rFonts w:ascii="Century Gothic" w:hAnsi="Century Gothic" w:cs="Tahoma"/>
          <w:bCs/>
          <w:snapToGrid w:val="0"/>
          <w:sz w:val="20"/>
          <w:szCs w:val="20"/>
        </w:rPr>
        <w:t>.</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Une attestation ou sa copie certifiée conforme à l’original délivrée depuis moins d’un an par l’administration compétente du lieu d’imposition certifiant que le concurrent est en situation fiscale régulière ou à défaut de paiement qu’il a constitué les garanties prévues à l’art 24 du décret précité. </w:t>
      </w:r>
    </w:p>
    <w:p w:rsidR="00D70BA7" w:rsidRPr="003E02EB" w:rsidRDefault="00D70BA7" w:rsidP="00D70BA7">
      <w:pPr>
        <w:widowControl w:val="0"/>
        <w:numPr>
          <w:ilvl w:val="0"/>
          <w:numId w:val="10"/>
        </w:numPr>
        <w:ind w:left="720" w:hanging="371"/>
        <w:jc w:val="both"/>
        <w:rPr>
          <w:rFonts w:ascii="Century Gothic" w:hAnsi="Century Gothic" w:cs="Tahoma"/>
          <w:snapToGrid w:val="0"/>
          <w:sz w:val="20"/>
          <w:szCs w:val="20"/>
        </w:rPr>
      </w:pPr>
      <w:r w:rsidRPr="003E02EB">
        <w:rPr>
          <w:rFonts w:ascii="Century Gothic" w:hAnsi="Century Gothic" w:cs="Tahoma"/>
          <w:snapToGrid w:val="0"/>
          <w:sz w:val="20"/>
          <w:szCs w:val="20"/>
        </w:rPr>
        <w:t>Une attestation ou sa copie certifiée conforme à l’Original délivrée depuis moins d’un an par la CNSS certifiant que le concurrent est en situation fiscale régulière envers cet organisme.</w:t>
      </w:r>
    </w:p>
    <w:p w:rsidR="00D70BA7" w:rsidRPr="003E02EB" w:rsidRDefault="00D70BA7" w:rsidP="00D70BA7">
      <w:pPr>
        <w:widowControl w:val="0"/>
        <w:ind w:left="709"/>
        <w:jc w:val="both"/>
        <w:rPr>
          <w:rFonts w:ascii="Century Gothic" w:hAnsi="Century Gothic" w:cs="Tahoma"/>
          <w:snapToGrid w:val="0"/>
          <w:sz w:val="8"/>
          <w:szCs w:val="8"/>
        </w:rPr>
      </w:pPr>
    </w:p>
    <w:p w:rsidR="00D70BA7" w:rsidRPr="003E02EB" w:rsidRDefault="00D70BA7" w:rsidP="00D70BA7">
      <w:pPr>
        <w:widowControl w:val="0"/>
        <w:pBdr>
          <w:top w:val="single" w:sz="4" w:space="1" w:color="auto"/>
          <w:left w:val="single" w:sz="4" w:space="0" w:color="auto"/>
          <w:bottom w:val="single" w:sz="4" w:space="1" w:color="auto"/>
          <w:right w:val="single" w:sz="4" w:space="4" w:color="auto"/>
        </w:pBdr>
        <w:ind w:left="1440" w:right="540" w:hanging="371"/>
        <w:jc w:val="lowKashida"/>
        <w:rPr>
          <w:rFonts w:ascii="Century Gothic" w:hAnsi="Century Gothic" w:cs="Tahoma"/>
          <w:b/>
          <w:bCs/>
          <w:i/>
          <w:iCs/>
          <w:snapToGrid w:val="0"/>
          <w:sz w:val="20"/>
          <w:szCs w:val="20"/>
        </w:rPr>
      </w:pPr>
      <w:r w:rsidRPr="003E02EB">
        <w:rPr>
          <w:rFonts w:ascii="Century Gothic" w:hAnsi="Century Gothic" w:cs="Tahoma"/>
          <w:b/>
          <w:bCs/>
          <w:i/>
          <w:iCs/>
          <w:snapToGrid w:val="0"/>
          <w:sz w:val="20"/>
          <w:szCs w:val="20"/>
        </w:rPr>
        <w:t>La date de production des pièces prévues aux b et c ci-dessus sert de base pour l’appréciation de leur validité</w:t>
      </w:r>
    </w:p>
    <w:p w:rsidR="00D70BA7" w:rsidRPr="003E02EB" w:rsidRDefault="00D70BA7" w:rsidP="00D70BA7">
      <w:pPr>
        <w:widowControl w:val="0"/>
        <w:numPr>
          <w:ilvl w:val="0"/>
          <w:numId w:val="10"/>
        </w:numPr>
        <w:ind w:left="720"/>
        <w:jc w:val="both"/>
        <w:rPr>
          <w:rFonts w:ascii="Century Gothic" w:hAnsi="Century Gothic" w:cs="Tahoma"/>
          <w:snapToGrid w:val="0"/>
          <w:sz w:val="20"/>
          <w:szCs w:val="20"/>
        </w:rPr>
      </w:pPr>
      <w:r w:rsidRPr="003E02EB">
        <w:rPr>
          <w:rFonts w:ascii="Century Gothic" w:hAnsi="Century Gothic" w:cs="Tahoma"/>
          <w:snapToGrid w:val="0"/>
          <w:sz w:val="20"/>
          <w:szCs w:val="20"/>
        </w:rPr>
        <w:t>Le  certificat  d’immatriculation  au  registre  de  commerce pour les personnes assujetties à l’obligation d’immatriculation conformément à la législation en vigueur</w:t>
      </w:r>
      <w:r w:rsidR="00FB080D">
        <w:rPr>
          <w:rFonts w:ascii="Century Gothic" w:hAnsi="Century Gothic" w:cs="Tahoma"/>
          <w:snapToGrid w:val="0"/>
          <w:sz w:val="20"/>
          <w:szCs w:val="20"/>
        </w:rPr>
        <w:t xml:space="preserve"> (Modèle 09)</w:t>
      </w:r>
      <w:r w:rsidRPr="003E02EB">
        <w:rPr>
          <w:rFonts w:ascii="Century Gothic" w:hAnsi="Century Gothic" w:cs="Tahoma"/>
          <w:snapToGrid w:val="0"/>
          <w:sz w:val="20"/>
          <w:szCs w:val="20"/>
        </w:rPr>
        <w:t>.</w:t>
      </w:r>
    </w:p>
    <w:p w:rsidR="00D70BA7" w:rsidRPr="003E02EB" w:rsidRDefault="00D70BA7" w:rsidP="00D70BA7">
      <w:pPr>
        <w:widowControl w:val="0"/>
        <w:ind w:left="720"/>
        <w:jc w:val="both"/>
        <w:rPr>
          <w:rFonts w:ascii="Century Gothic" w:hAnsi="Century Gothic" w:cs="Tahoma"/>
          <w:snapToGrid w:val="0"/>
          <w:sz w:val="8"/>
          <w:szCs w:val="8"/>
        </w:rPr>
      </w:pPr>
    </w:p>
    <w:p w:rsidR="00D70BA7" w:rsidRPr="003E02EB" w:rsidRDefault="00D70BA7" w:rsidP="007D28E2">
      <w:pPr>
        <w:jc w:val="both"/>
        <w:rPr>
          <w:rFonts w:ascii="Century Gothic" w:hAnsi="Century Gothic" w:cs="Tahoma"/>
          <w:i/>
          <w:iCs/>
          <w:sz w:val="20"/>
          <w:szCs w:val="20"/>
        </w:rPr>
      </w:pPr>
      <w:r w:rsidRPr="003E02EB">
        <w:rPr>
          <w:rFonts w:ascii="Century Gothic" w:hAnsi="Century Gothic" w:cs="Tahoma"/>
          <w:i/>
          <w:iCs/>
          <w:sz w:val="20"/>
          <w:szCs w:val="20"/>
        </w:rPr>
        <w:t xml:space="preserve">Les concurrents non installés au Maroc doivent fournir l’équivalent des pièces visés </w:t>
      </w:r>
      <w:r w:rsidR="00E46B21" w:rsidRPr="003E02EB">
        <w:rPr>
          <w:rFonts w:ascii="Century Gothic" w:hAnsi="Century Gothic" w:cs="Tahoma"/>
          <w:i/>
          <w:iCs/>
          <w:sz w:val="20"/>
          <w:szCs w:val="20"/>
        </w:rPr>
        <w:t xml:space="preserve">aux </w:t>
      </w:r>
      <w:r w:rsidR="00466467" w:rsidRPr="003E02EB">
        <w:rPr>
          <w:rFonts w:ascii="Century Gothic" w:hAnsi="Century Gothic" w:cs="Tahoma"/>
          <w:i/>
          <w:iCs/>
          <w:sz w:val="20"/>
          <w:szCs w:val="20"/>
        </w:rPr>
        <w:t>paragraphes</w:t>
      </w:r>
      <w:r w:rsidR="007D28E2">
        <w:rPr>
          <w:rFonts w:ascii="Century Gothic" w:hAnsi="Century Gothic" w:cs="Tahoma"/>
          <w:i/>
          <w:iCs/>
          <w:sz w:val="20"/>
          <w:szCs w:val="20"/>
        </w:rPr>
        <w:t xml:space="preserve"> et c</w:t>
      </w:r>
      <w:r w:rsidRPr="003E02EB">
        <w:rPr>
          <w:rFonts w:ascii="Century Gothic" w:hAnsi="Century Gothic" w:cs="Tahoma"/>
          <w:i/>
          <w:iCs/>
          <w:sz w:val="20"/>
          <w:szCs w:val="20"/>
        </w:rPr>
        <w:t xml:space="preserve"> visés ci-dessus et à défaut une déclaration faite devant une autorité judiciaire ou </w:t>
      </w:r>
      <w:r w:rsidR="00E46B21" w:rsidRPr="003E02EB">
        <w:rPr>
          <w:rFonts w:ascii="Century Gothic" w:hAnsi="Century Gothic" w:cs="Tahoma"/>
          <w:i/>
          <w:iCs/>
          <w:sz w:val="20"/>
          <w:szCs w:val="20"/>
        </w:rPr>
        <w:t>administrative,</w:t>
      </w:r>
      <w:r w:rsidRPr="003E02EB">
        <w:rPr>
          <w:rFonts w:ascii="Century Gothic" w:hAnsi="Century Gothic" w:cs="Tahoma"/>
          <w:i/>
          <w:iCs/>
          <w:sz w:val="20"/>
          <w:szCs w:val="20"/>
        </w:rPr>
        <w:t xml:space="preserve"> un notaire ou un organisme professionnel qualifié lorsque de tel document ne sont </w:t>
      </w:r>
      <w:r w:rsidR="00420CB3" w:rsidRPr="003E02EB">
        <w:rPr>
          <w:rFonts w:ascii="Century Gothic" w:hAnsi="Century Gothic" w:cs="Tahoma"/>
          <w:i/>
          <w:iCs/>
          <w:sz w:val="20"/>
          <w:szCs w:val="20"/>
        </w:rPr>
        <w:t>pas</w:t>
      </w:r>
      <w:r w:rsidRPr="003E02EB">
        <w:rPr>
          <w:rFonts w:ascii="Century Gothic" w:hAnsi="Century Gothic" w:cs="Tahoma"/>
          <w:i/>
          <w:iCs/>
          <w:sz w:val="20"/>
          <w:szCs w:val="20"/>
        </w:rPr>
        <w:t xml:space="preserve"> délivrés par leurs pays d’origine ou de provenance certifiant que ces documents ne sont pas produits.</w:t>
      </w:r>
    </w:p>
    <w:p w:rsidR="00D70BA7" w:rsidRPr="003E02EB" w:rsidRDefault="00D70BA7" w:rsidP="00D70BA7">
      <w:pPr>
        <w:widowControl w:val="0"/>
        <w:jc w:val="both"/>
        <w:rPr>
          <w:rFonts w:ascii="Century Gothic" w:hAnsi="Century Gothic" w:cs="Tahoma"/>
          <w:snapToGrid w:val="0"/>
          <w:sz w:val="8"/>
          <w:szCs w:val="8"/>
        </w:rPr>
      </w:pPr>
    </w:p>
    <w:p w:rsidR="00420CB3"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2 - Un dossier  Technique comprenant </w:t>
      </w:r>
    </w:p>
    <w:p w:rsidR="00420CB3" w:rsidRPr="00420CB3" w:rsidRDefault="00420CB3" w:rsidP="00420CB3">
      <w:pPr>
        <w:pStyle w:val="Paragraphedeliste"/>
        <w:widowControl w:val="0"/>
        <w:ind w:left="780"/>
        <w:jc w:val="both"/>
        <w:rPr>
          <w:rFonts w:ascii="Century Gothic" w:hAnsi="Century Gothic" w:cs="Tahoma"/>
          <w:bCs/>
          <w:snapToGrid w:val="0"/>
          <w:sz w:val="20"/>
          <w:szCs w:val="20"/>
        </w:rPr>
      </w:pPr>
      <w:r w:rsidRPr="00420CB3">
        <w:rPr>
          <w:rFonts w:ascii="Century Gothic" w:hAnsi="Century Gothic" w:cs="Tahoma"/>
          <w:b/>
          <w:bCs/>
          <w:snapToGrid w:val="0"/>
          <w:sz w:val="20"/>
          <w:szCs w:val="20"/>
        </w:rPr>
        <w:t>a - Les attestations de référence ou leurs copies certifiées conformes à l’originale de même nature et de même importance technique et financière que le présent marché</w:t>
      </w:r>
      <w:r w:rsidRPr="00420CB3">
        <w:rPr>
          <w:rFonts w:ascii="Century Gothic" w:hAnsi="Century Gothic" w:cs="Tahoma"/>
          <w:bCs/>
          <w:snapToGrid w:val="0"/>
          <w:sz w:val="20"/>
          <w:szCs w:val="20"/>
        </w:rPr>
        <w:t>délivrées par les maitres d’ouvrage publics ou privés ou par les hommes de l’art sous la direction desquels les dites prestations ont été exécutées ou par les maitres d’ouvrage publics ou privés des dites prestations avec indication de la nature des prestations le montant</w:t>
      </w:r>
      <w:r w:rsidRPr="00420CB3">
        <w:rPr>
          <w:rFonts w:ascii="Century Gothic" w:hAnsi="Century Gothic" w:cs="Arial"/>
        </w:rPr>
        <w:t xml:space="preserve">, </w:t>
      </w:r>
      <w:r w:rsidRPr="00420CB3">
        <w:rPr>
          <w:rFonts w:ascii="Century Gothic" w:hAnsi="Century Gothic" w:cs="Tahoma"/>
          <w:bCs/>
          <w:snapToGrid w:val="0"/>
          <w:sz w:val="20"/>
          <w:szCs w:val="20"/>
        </w:rPr>
        <w:t xml:space="preserve">les détails et les dates de réalisation, </w:t>
      </w:r>
      <w:r w:rsidRPr="00420CB3">
        <w:rPr>
          <w:rFonts w:ascii="Century Gothic" w:hAnsi="Century Gothic" w:cs="Tahoma"/>
          <w:bCs/>
          <w:snapToGrid w:val="0"/>
          <w:sz w:val="20"/>
          <w:szCs w:val="20"/>
        </w:rPr>
        <w:lastRenderedPageBreak/>
        <w:t>l’appréciation, le nom et la qualité du signataire.</w:t>
      </w:r>
    </w:p>
    <w:p w:rsidR="00420CB3" w:rsidRPr="00420CB3" w:rsidRDefault="00420CB3" w:rsidP="00420CB3">
      <w:pPr>
        <w:pStyle w:val="Paragraphedeliste"/>
        <w:widowControl w:val="0"/>
        <w:ind w:left="780"/>
        <w:jc w:val="both"/>
        <w:rPr>
          <w:rFonts w:ascii="Century Gothic" w:hAnsi="Century Gothic" w:cs="Tahoma"/>
          <w:bCs/>
          <w:snapToGrid w:val="0"/>
          <w:sz w:val="20"/>
          <w:szCs w:val="20"/>
        </w:rPr>
      </w:pPr>
      <w:r w:rsidRPr="00420CB3">
        <w:rPr>
          <w:rFonts w:ascii="Century Gothic" w:hAnsi="Century Gothic" w:cs="Tahoma"/>
          <w:b/>
          <w:snapToGrid w:val="0"/>
          <w:sz w:val="20"/>
          <w:szCs w:val="20"/>
        </w:rPr>
        <w:t xml:space="preserve">NB : </w:t>
      </w:r>
    </w:p>
    <w:p w:rsidR="00420CB3" w:rsidRPr="00420CB3" w:rsidRDefault="00420CB3" w:rsidP="00420CB3">
      <w:pPr>
        <w:pStyle w:val="Paragraphedeliste"/>
        <w:widowControl w:val="0"/>
        <w:ind w:left="780"/>
        <w:jc w:val="both"/>
        <w:rPr>
          <w:rFonts w:ascii="Century Gothic" w:hAnsi="Century Gothic" w:cs="Tahoma"/>
          <w:b/>
          <w:bCs/>
          <w:snapToGrid w:val="0"/>
          <w:sz w:val="20"/>
          <w:szCs w:val="20"/>
        </w:rPr>
      </w:pPr>
      <w:r w:rsidRPr="00420CB3">
        <w:rPr>
          <w:rFonts w:ascii="Century Gothic" w:hAnsi="Century Gothic" w:cs="Tahoma"/>
          <w:b/>
          <w:bCs/>
          <w:snapToGrid w:val="0"/>
          <w:sz w:val="20"/>
          <w:szCs w:val="20"/>
        </w:rPr>
        <w:t>Toute attestation ne répondant</w:t>
      </w:r>
      <w:r>
        <w:rPr>
          <w:rFonts w:ascii="Century Gothic" w:hAnsi="Century Gothic" w:cs="Tahoma"/>
          <w:b/>
          <w:bCs/>
          <w:snapToGrid w:val="0"/>
          <w:sz w:val="20"/>
          <w:szCs w:val="20"/>
        </w:rPr>
        <w:t xml:space="preserve"> pas aux données de l’article 10</w:t>
      </w:r>
      <w:r w:rsidRPr="00420CB3">
        <w:rPr>
          <w:rFonts w:ascii="Century Gothic" w:hAnsi="Century Gothic" w:cs="Tahoma"/>
          <w:b/>
          <w:bCs/>
          <w:snapToGrid w:val="0"/>
          <w:sz w:val="20"/>
          <w:szCs w:val="20"/>
        </w:rPr>
        <w:t xml:space="preserve"> du présent règlement de consultation ne sera pas prise en charge.</w:t>
      </w:r>
    </w:p>
    <w:p w:rsidR="00D70BA7" w:rsidRPr="00420CB3" w:rsidRDefault="00D70BA7" w:rsidP="00420CB3">
      <w:pPr>
        <w:pStyle w:val="Paragraphedeliste"/>
        <w:widowControl w:val="0"/>
        <w:ind w:left="780"/>
        <w:jc w:val="both"/>
        <w:rPr>
          <w:rFonts w:ascii="Century Gothic" w:hAnsi="Century Gothic" w:cs="Tahoma"/>
          <w:b/>
          <w:snapToGrid w:val="0"/>
          <w:sz w:val="20"/>
          <w:szCs w:val="20"/>
          <w:u w:val="single"/>
        </w:rPr>
      </w:pPr>
    </w:p>
    <w:p w:rsidR="00D70BA7" w:rsidRPr="00420CB3" w:rsidRDefault="00420CB3" w:rsidP="00646F32">
      <w:pPr>
        <w:widowControl w:val="0"/>
        <w:jc w:val="both"/>
        <w:rPr>
          <w:rFonts w:ascii="Century Gothic" w:hAnsi="Century Gothic" w:cs="Tahoma"/>
          <w:bCs/>
          <w:snapToGrid w:val="0"/>
          <w:sz w:val="20"/>
          <w:szCs w:val="20"/>
        </w:rPr>
      </w:pPr>
      <w:r w:rsidRPr="00420CB3">
        <w:rPr>
          <w:rFonts w:ascii="Century Gothic" w:hAnsi="Century Gothic" w:cs="Tahoma"/>
          <w:bCs/>
          <w:snapToGrid w:val="0"/>
          <w:sz w:val="20"/>
          <w:szCs w:val="20"/>
        </w:rPr>
        <w:t xml:space="preserve">b- </w:t>
      </w:r>
      <w:r w:rsidR="00646F32" w:rsidRPr="00420CB3">
        <w:rPr>
          <w:rFonts w:ascii="Century Gothic" w:hAnsi="Century Gothic" w:cs="Tahoma"/>
          <w:bCs/>
          <w:snapToGrid w:val="0"/>
          <w:sz w:val="20"/>
          <w:szCs w:val="20"/>
        </w:rPr>
        <w:t>Les concurrents devront fournir une copie légalisée (certifiée conforme à l’original) du certificat de qualification et de classification.</w:t>
      </w:r>
    </w:p>
    <w:p w:rsidR="00646F32" w:rsidRPr="00420CB3" w:rsidRDefault="00646F32" w:rsidP="00646F32">
      <w:pPr>
        <w:widowControl w:val="0"/>
        <w:jc w:val="both"/>
        <w:rPr>
          <w:rFonts w:ascii="Century Gothic" w:hAnsi="Century Gothic" w:cs="Tahoma"/>
          <w:bCs/>
          <w:snapToGrid w:val="0"/>
          <w:sz w:val="20"/>
          <w:szCs w:val="20"/>
        </w:rPr>
      </w:pPr>
      <w:r w:rsidRPr="00420CB3">
        <w:rPr>
          <w:rFonts w:ascii="Century Gothic" w:hAnsi="Century Gothic" w:cs="Tahoma"/>
          <w:bCs/>
          <w:snapToGrid w:val="0"/>
          <w:sz w:val="20"/>
          <w:szCs w:val="20"/>
        </w:rPr>
        <w:t xml:space="preserve">Il est exigé pour le présent appel d’offres le </w:t>
      </w:r>
      <w:r w:rsidR="00604C28" w:rsidRPr="00420CB3">
        <w:rPr>
          <w:rFonts w:ascii="Century Gothic" w:hAnsi="Century Gothic" w:cs="Tahoma"/>
          <w:bCs/>
          <w:snapToGrid w:val="0"/>
          <w:sz w:val="20"/>
          <w:szCs w:val="20"/>
        </w:rPr>
        <w:t>secteur, la</w:t>
      </w:r>
      <w:r w:rsidRPr="00420CB3">
        <w:rPr>
          <w:rFonts w:ascii="Century Gothic" w:hAnsi="Century Gothic" w:cs="Tahoma"/>
          <w:bCs/>
          <w:snapToGrid w:val="0"/>
          <w:sz w:val="20"/>
          <w:szCs w:val="20"/>
        </w:rPr>
        <w:t xml:space="preserve"> classe minimale et les qualifications suivantes :</w:t>
      </w:r>
    </w:p>
    <w:p w:rsidR="00604C28" w:rsidRPr="00420CB3" w:rsidRDefault="00604C28" w:rsidP="00646F32">
      <w:pPr>
        <w:widowControl w:val="0"/>
        <w:jc w:val="both"/>
        <w:rPr>
          <w:rFonts w:ascii="Century Gothic" w:hAnsi="Century Gothic" w:cs="Tahoma"/>
          <w:bCs/>
          <w:snapToGrid w:val="0"/>
          <w:sz w:val="20"/>
          <w:szCs w:val="20"/>
        </w:rPr>
      </w:pPr>
    </w:p>
    <w:tbl>
      <w:tblPr>
        <w:tblStyle w:val="Grilledutableau"/>
        <w:tblW w:w="0" w:type="auto"/>
        <w:tblLook w:val="04A0"/>
      </w:tblPr>
      <w:tblGrid>
        <w:gridCol w:w="3936"/>
        <w:gridCol w:w="3237"/>
        <w:gridCol w:w="3587"/>
      </w:tblGrid>
      <w:tr w:rsidR="00420CB3" w:rsidRPr="00420CB3" w:rsidTr="00604C28">
        <w:tc>
          <w:tcPr>
            <w:tcW w:w="3936" w:type="dxa"/>
          </w:tcPr>
          <w:p w:rsidR="00604C28" w:rsidRPr="00420CB3" w:rsidRDefault="00604C28" w:rsidP="00604C28">
            <w:pPr>
              <w:widowControl w:val="0"/>
              <w:jc w:val="center"/>
              <w:rPr>
                <w:rFonts w:ascii="Century Gothic" w:hAnsi="Century Gothic" w:cs="Tahoma"/>
                <w:b/>
                <w:snapToGrid w:val="0"/>
                <w:sz w:val="20"/>
                <w:szCs w:val="20"/>
              </w:rPr>
            </w:pPr>
            <w:r w:rsidRPr="00420CB3">
              <w:rPr>
                <w:rFonts w:ascii="Century Gothic" w:hAnsi="Century Gothic" w:cs="Tahoma"/>
                <w:b/>
                <w:snapToGrid w:val="0"/>
                <w:sz w:val="20"/>
                <w:szCs w:val="20"/>
              </w:rPr>
              <w:t>Secteur</w:t>
            </w:r>
          </w:p>
        </w:tc>
        <w:tc>
          <w:tcPr>
            <w:tcW w:w="3237" w:type="dxa"/>
          </w:tcPr>
          <w:p w:rsidR="00604C28" w:rsidRPr="00420CB3" w:rsidRDefault="00604C28" w:rsidP="00604C28">
            <w:pPr>
              <w:widowControl w:val="0"/>
              <w:jc w:val="center"/>
              <w:rPr>
                <w:rFonts w:ascii="Century Gothic" w:hAnsi="Century Gothic" w:cs="Tahoma"/>
                <w:b/>
                <w:snapToGrid w:val="0"/>
                <w:sz w:val="20"/>
                <w:szCs w:val="20"/>
              </w:rPr>
            </w:pPr>
            <w:r w:rsidRPr="00420CB3">
              <w:rPr>
                <w:rFonts w:ascii="Century Gothic" w:hAnsi="Century Gothic" w:cs="Tahoma"/>
                <w:b/>
                <w:snapToGrid w:val="0"/>
                <w:sz w:val="20"/>
                <w:szCs w:val="20"/>
              </w:rPr>
              <w:t>Classe</w:t>
            </w:r>
          </w:p>
        </w:tc>
        <w:tc>
          <w:tcPr>
            <w:tcW w:w="3587" w:type="dxa"/>
          </w:tcPr>
          <w:p w:rsidR="00604C28" w:rsidRPr="00420CB3" w:rsidRDefault="00604C28" w:rsidP="00604C28">
            <w:pPr>
              <w:widowControl w:val="0"/>
              <w:jc w:val="center"/>
              <w:rPr>
                <w:rFonts w:ascii="Century Gothic" w:hAnsi="Century Gothic" w:cs="Tahoma"/>
                <w:b/>
                <w:snapToGrid w:val="0"/>
                <w:sz w:val="20"/>
                <w:szCs w:val="20"/>
              </w:rPr>
            </w:pPr>
            <w:r w:rsidRPr="00420CB3">
              <w:rPr>
                <w:rFonts w:ascii="Century Gothic" w:hAnsi="Century Gothic" w:cs="Tahoma"/>
                <w:b/>
                <w:snapToGrid w:val="0"/>
                <w:sz w:val="20"/>
                <w:szCs w:val="20"/>
              </w:rPr>
              <w:t>Qualifications exigées</w:t>
            </w:r>
          </w:p>
        </w:tc>
      </w:tr>
      <w:tr w:rsidR="00604C28" w:rsidRPr="00420CB3" w:rsidTr="00604C28">
        <w:tc>
          <w:tcPr>
            <w:tcW w:w="3936" w:type="dxa"/>
          </w:tcPr>
          <w:p w:rsidR="00604C28" w:rsidRPr="00420CB3" w:rsidRDefault="00604C28" w:rsidP="00646F32">
            <w:pPr>
              <w:widowControl w:val="0"/>
              <w:jc w:val="both"/>
              <w:rPr>
                <w:rFonts w:ascii="Century Gothic" w:hAnsi="Century Gothic" w:cs="Tahoma"/>
                <w:bCs/>
                <w:snapToGrid w:val="0"/>
                <w:sz w:val="20"/>
                <w:szCs w:val="20"/>
              </w:rPr>
            </w:pPr>
            <w:r w:rsidRPr="00420CB3">
              <w:rPr>
                <w:rFonts w:ascii="Century Gothic" w:hAnsi="Century Gothic" w:cs="Tahoma"/>
                <w:bCs/>
                <w:snapToGrid w:val="0"/>
                <w:sz w:val="20"/>
                <w:szCs w:val="20"/>
              </w:rPr>
              <w:t>B : Travaux routiers et voirie urbaine</w:t>
            </w:r>
          </w:p>
        </w:tc>
        <w:tc>
          <w:tcPr>
            <w:tcW w:w="3237" w:type="dxa"/>
          </w:tcPr>
          <w:p w:rsidR="00604C28" w:rsidRPr="00420CB3" w:rsidRDefault="00604C28" w:rsidP="00646F32">
            <w:pPr>
              <w:widowControl w:val="0"/>
              <w:jc w:val="both"/>
              <w:rPr>
                <w:rFonts w:ascii="Century Gothic" w:hAnsi="Century Gothic" w:cs="Tahoma"/>
                <w:bCs/>
                <w:snapToGrid w:val="0"/>
                <w:sz w:val="20"/>
                <w:szCs w:val="20"/>
              </w:rPr>
            </w:pPr>
            <w:r w:rsidRPr="00420CB3">
              <w:rPr>
                <w:rFonts w:ascii="Century Gothic" w:hAnsi="Century Gothic" w:cs="Tahoma"/>
                <w:bCs/>
                <w:snapToGrid w:val="0"/>
                <w:sz w:val="20"/>
                <w:szCs w:val="20"/>
              </w:rPr>
              <w:t>Classe 4</w:t>
            </w:r>
          </w:p>
        </w:tc>
        <w:tc>
          <w:tcPr>
            <w:tcW w:w="3587" w:type="dxa"/>
          </w:tcPr>
          <w:p w:rsidR="00604C28" w:rsidRPr="00420CB3" w:rsidRDefault="00420CB3" w:rsidP="00646F32">
            <w:pPr>
              <w:widowControl w:val="0"/>
              <w:jc w:val="both"/>
              <w:rPr>
                <w:rFonts w:ascii="Century Gothic" w:hAnsi="Century Gothic" w:cs="Tahoma"/>
                <w:bCs/>
                <w:snapToGrid w:val="0"/>
                <w:sz w:val="20"/>
                <w:szCs w:val="20"/>
              </w:rPr>
            </w:pPr>
            <w:r w:rsidRPr="00420CB3">
              <w:rPr>
                <w:rFonts w:ascii="Century Gothic" w:hAnsi="Century Gothic" w:cs="Tahoma"/>
                <w:bCs/>
                <w:snapToGrid w:val="0"/>
                <w:sz w:val="20"/>
                <w:szCs w:val="20"/>
              </w:rPr>
              <w:t>B4</w:t>
            </w:r>
          </w:p>
          <w:p w:rsidR="00604C28" w:rsidRPr="00420CB3" w:rsidRDefault="00604C28" w:rsidP="00646F32">
            <w:pPr>
              <w:widowControl w:val="0"/>
              <w:jc w:val="both"/>
              <w:rPr>
                <w:rFonts w:ascii="Century Gothic" w:hAnsi="Century Gothic" w:cs="Tahoma"/>
                <w:bCs/>
                <w:snapToGrid w:val="0"/>
                <w:sz w:val="20"/>
                <w:szCs w:val="20"/>
              </w:rPr>
            </w:pPr>
          </w:p>
        </w:tc>
      </w:tr>
    </w:tbl>
    <w:p w:rsidR="00646F32" w:rsidRPr="00420CB3" w:rsidRDefault="00646F32" w:rsidP="00646F32">
      <w:pPr>
        <w:widowControl w:val="0"/>
        <w:jc w:val="both"/>
        <w:rPr>
          <w:rFonts w:ascii="Century Gothic" w:hAnsi="Century Gothic" w:cs="Tahoma"/>
          <w:bCs/>
          <w:snapToGrid w:val="0"/>
          <w:sz w:val="20"/>
          <w:szCs w:val="20"/>
        </w:rPr>
      </w:pPr>
    </w:p>
    <w:p w:rsidR="0056220F" w:rsidRDefault="0056220F" w:rsidP="0056220F">
      <w:pPr>
        <w:pStyle w:val="Paragraphedeliste"/>
        <w:tabs>
          <w:tab w:val="left" w:pos="284"/>
        </w:tabs>
        <w:ind w:left="540"/>
        <w:contextualSpacing w:val="0"/>
        <w:jc w:val="both"/>
        <w:rPr>
          <w:rFonts w:ascii="Eras Medium ITC" w:hAnsi="Eras Medium ITC" w:cs="Tahoma"/>
        </w:rPr>
      </w:pPr>
      <w:r w:rsidRPr="00684914">
        <w:rPr>
          <w:rFonts w:ascii="Eras Medium ITC" w:hAnsi="Eras Medium ITC" w:cs="Tahoma"/>
        </w:rPr>
        <w:t xml:space="preserve">En cas de groupement </w:t>
      </w:r>
      <w:r w:rsidRPr="00990E06">
        <w:rPr>
          <w:rFonts w:ascii="Eras Medium ITC" w:hAnsi="Eras Medium ITC" w:cs="Tahoma"/>
          <w:b/>
          <w:bCs/>
        </w:rPr>
        <w:t>conjoint</w:t>
      </w:r>
      <w:r w:rsidRPr="00684914">
        <w:rPr>
          <w:rFonts w:ascii="Eras Medium ITC" w:hAnsi="Eras Medium ITC" w:cs="Tahoma"/>
        </w:rPr>
        <w:t>, chaque membre du groupement y compris le mandataire doit justifier individuellement les capacités juridiques, techniques et financières requises pour la réalisation des prestations pour lesquelles il s’engage</w:t>
      </w:r>
      <w:r>
        <w:rPr>
          <w:rFonts w:ascii="Eras Medium ITC" w:hAnsi="Eras Medium ITC" w:cs="Tahoma"/>
        </w:rPr>
        <w:t>.</w:t>
      </w:r>
    </w:p>
    <w:p w:rsidR="0056220F" w:rsidRDefault="0056220F" w:rsidP="0056220F">
      <w:pPr>
        <w:pStyle w:val="Paragraphedeliste"/>
        <w:tabs>
          <w:tab w:val="left" w:pos="284"/>
        </w:tabs>
        <w:ind w:left="540"/>
        <w:contextualSpacing w:val="0"/>
        <w:jc w:val="both"/>
        <w:rPr>
          <w:rFonts w:ascii="Eras Medium ITC" w:hAnsi="Eras Medium ITC" w:cs="Tahoma"/>
        </w:rPr>
      </w:pPr>
      <w:r>
        <w:rPr>
          <w:rFonts w:ascii="Eras Medium ITC" w:hAnsi="Eras Medium ITC" w:cs="Tahoma"/>
        </w:rPr>
        <w:t xml:space="preserve">En cas de groupement </w:t>
      </w:r>
      <w:r w:rsidRPr="00990E06">
        <w:rPr>
          <w:rFonts w:ascii="Eras Medium ITC" w:hAnsi="Eras Medium ITC" w:cs="Tahoma"/>
          <w:b/>
          <w:bCs/>
        </w:rPr>
        <w:t>solidaire</w:t>
      </w:r>
      <w:r>
        <w:rPr>
          <w:rFonts w:ascii="Eras Medium ITC" w:hAnsi="Eras Medium ITC" w:cs="Tahoma"/>
        </w:rPr>
        <w:t xml:space="preserve"> tous les membres du groupement solidaire y compris le mandataire, doivent justifier individuellement les capacités juridiques exigées.</w:t>
      </w:r>
    </w:p>
    <w:p w:rsidR="00D70BA7" w:rsidRPr="003E02EB" w:rsidRDefault="00D70BA7" w:rsidP="00D70BA7">
      <w:pPr>
        <w:widowControl w:val="0"/>
        <w:jc w:val="both"/>
        <w:rPr>
          <w:rFonts w:ascii="Century Gothic" w:hAnsi="Century Gothic" w:cs="Tahoma"/>
          <w:b/>
          <w:snapToGrid w:val="0"/>
          <w:sz w:val="8"/>
          <w:szCs w:val="8"/>
          <w:u w:val="single"/>
        </w:rPr>
      </w:pPr>
    </w:p>
    <w:p w:rsidR="00D70BA7" w:rsidRPr="003E02EB" w:rsidRDefault="00D70BA7" w:rsidP="00D70BA7">
      <w:pPr>
        <w:ind w:left="1080"/>
        <w:jc w:val="both"/>
        <w:rPr>
          <w:rFonts w:ascii="Century Gothic" w:hAnsi="Century Gothic" w:cs="Tahoma"/>
          <w:bCs/>
          <w:sz w:val="8"/>
          <w:szCs w:val="8"/>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1</w:t>
      </w:r>
      <w:r w:rsidRPr="003E02EB">
        <w:rPr>
          <w:rFonts w:ascii="Century Gothic" w:hAnsi="Century Gothic" w:cs="Tahoma"/>
          <w:b/>
          <w:bCs/>
          <w:sz w:val="20"/>
          <w:szCs w:val="20"/>
          <w:u w:val="single"/>
        </w:rPr>
        <w:t xml:space="preserve"> : OFFRE FINANCIERE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D70BA7" w:rsidRPr="003E02EB" w:rsidRDefault="00D70BA7" w:rsidP="00D70BA7">
      <w:pPr>
        <w:tabs>
          <w:tab w:val="left" w:pos="900"/>
        </w:tabs>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D70BA7" w:rsidRDefault="00D70BA7" w:rsidP="00D70BA7">
      <w:pPr>
        <w:autoSpaceDE w:val="0"/>
        <w:autoSpaceDN w:val="0"/>
        <w:adjustRightInd w:val="0"/>
        <w:spacing w:line="240" w:lineRule="exact"/>
        <w:ind w:left="1260" w:hanging="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D70BA7" w:rsidRDefault="00D70BA7" w:rsidP="00D70BA7">
      <w:pPr>
        <w:autoSpaceDE w:val="0"/>
        <w:autoSpaceDN w:val="0"/>
        <w:adjustRightInd w:val="0"/>
        <w:spacing w:line="240" w:lineRule="exact"/>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D70BA7" w:rsidRDefault="00D70BA7" w:rsidP="00D70BA7">
      <w:pPr>
        <w:autoSpaceDE w:val="0"/>
        <w:autoSpaceDN w:val="0"/>
        <w:adjustRightInd w:val="0"/>
        <w:spacing w:line="240" w:lineRule="exact"/>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sidRPr="00753967">
        <w:rPr>
          <w:rFonts w:ascii="Century Gothic" w:hAnsi="Century Gothic" w:cs="Tahoma"/>
          <w:sz w:val="20"/>
          <w:szCs w:val="20"/>
        </w:rPr>
        <w:t xml:space="preserve">Les prix unitaires du bordereau des prix détail estimatif doivent être </w:t>
      </w:r>
      <w:r w:rsidR="0057694E" w:rsidRPr="00753967">
        <w:rPr>
          <w:rFonts w:ascii="Century Gothic" w:hAnsi="Century Gothic" w:cs="Tahoma"/>
          <w:sz w:val="20"/>
          <w:szCs w:val="20"/>
        </w:rPr>
        <w:t>libellés</w:t>
      </w:r>
      <w:r w:rsidRPr="00753967">
        <w:rPr>
          <w:rFonts w:ascii="Century Gothic" w:hAnsi="Century Gothic" w:cs="Tahoma"/>
          <w:sz w:val="20"/>
          <w:szCs w:val="20"/>
        </w:rPr>
        <w:t xml:space="preserve"> en chiffres.</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7E2E33">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2</w:t>
      </w:r>
      <w:r w:rsidRPr="003E02EB">
        <w:rPr>
          <w:rFonts w:ascii="Century Gothic" w:hAnsi="Century Gothic" w:cs="Tahoma"/>
          <w:b/>
          <w:bCs/>
          <w:sz w:val="20"/>
          <w:szCs w:val="20"/>
          <w:u w:val="single"/>
        </w:rPr>
        <w:t xml:space="preserve"> : PRESENTATION DES DOSSIERS DES OFFRES DES CONCURRENTS </w:t>
      </w:r>
    </w:p>
    <w:p w:rsidR="00D70BA7" w:rsidRPr="003E02EB" w:rsidRDefault="00D70BA7" w:rsidP="00D70BA7">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sidR="007D28E2">
        <w:rPr>
          <w:rFonts w:ascii="Century Gothic" w:hAnsi="Century Gothic" w:cs="Tahoma"/>
          <w:snapToGrid w:val="0"/>
          <w:sz w:val="20"/>
          <w:szCs w:val="20"/>
          <w:lang w:eastAsia="ar-SA"/>
        </w:rPr>
        <w:t xml:space="preserve">fermé et </w:t>
      </w:r>
      <w:r w:rsidRPr="003E02EB">
        <w:rPr>
          <w:rFonts w:ascii="Century Gothic" w:hAnsi="Century Gothic" w:cs="Tahoma"/>
          <w:snapToGrid w:val="0"/>
          <w:sz w:val="20"/>
          <w:szCs w:val="20"/>
          <w:lang w:eastAsia="ar-SA"/>
        </w:rPr>
        <w:t>cacheté portant :</w:t>
      </w:r>
    </w:p>
    <w:p w:rsidR="00D70BA7"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D70BA7" w:rsidRPr="003E02EB" w:rsidRDefault="00D70BA7" w:rsidP="0057694E">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sidR="0057694E">
        <w:rPr>
          <w:rFonts w:ascii="Century Gothic" w:hAnsi="Century Gothic" w:cs="Tahoma"/>
          <w:snapToGrid w:val="0"/>
          <w:sz w:val="20"/>
          <w:szCs w:val="20"/>
          <w:lang w:eastAsia="ar-SA"/>
        </w:rPr>
        <w:t>deux</w:t>
      </w:r>
      <w:r w:rsidRPr="003E02EB">
        <w:rPr>
          <w:rFonts w:ascii="Century Gothic" w:hAnsi="Century Gothic" w:cs="Tahoma"/>
          <w:snapToGrid w:val="0"/>
          <w:sz w:val="20"/>
          <w:szCs w:val="20"/>
          <w:lang w:eastAsia="ar-SA"/>
        </w:rPr>
        <w:t xml:space="preserve"> enveloppes distinctes comprenant pour chacune :</w:t>
      </w:r>
    </w:p>
    <w:p w:rsidR="00D70BA7" w:rsidRPr="003E02EB" w:rsidRDefault="00D70BA7" w:rsidP="00BD225B">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 xml:space="preserve">I - La première </w:t>
      </w:r>
      <w:r w:rsidR="00004062" w:rsidRPr="003E02EB">
        <w:rPr>
          <w:rFonts w:ascii="Century Gothic" w:hAnsi="Century Gothic" w:cs="Tahoma"/>
          <w:snapToGrid w:val="0"/>
          <w:sz w:val="20"/>
          <w:szCs w:val="20"/>
          <w:u w:val="single"/>
          <w:lang w:eastAsia="ar-SA"/>
        </w:rPr>
        <w:t>enveloppe:</w:t>
      </w:r>
      <w:r w:rsidR="00004062" w:rsidRPr="003E02EB">
        <w:rPr>
          <w:rFonts w:ascii="Century Gothic" w:hAnsi="Century Gothic" w:cs="Tahoma"/>
          <w:sz w:val="20"/>
          <w:szCs w:val="20"/>
        </w:rPr>
        <w:t xml:space="preserve"> le</w:t>
      </w:r>
      <w:r w:rsidRPr="003E02EB">
        <w:rPr>
          <w:rFonts w:ascii="Century Gothic" w:hAnsi="Century Gothic" w:cs="Tahoma"/>
          <w:sz w:val="20"/>
          <w:szCs w:val="20"/>
        </w:rPr>
        <w:t xml:space="preserve"> dossier administratif, le dossier technique, le cahier de prescriptions spéciales signé et paraphé par le concurrent ou la personne habilitée à cet effet. Cette enveloppe doit être cachetée</w:t>
      </w:r>
      <w:r w:rsidR="0057694E">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w:t>
      </w:r>
      <w:r w:rsidR="00BD225B">
        <w:rPr>
          <w:rFonts w:ascii="Century Gothic" w:hAnsi="Century Gothic" w:cs="Tahoma"/>
          <w:sz w:val="20"/>
          <w:szCs w:val="20"/>
        </w:rPr>
        <w:t xml:space="preserve">et </w:t>
      </w:r>
      <w:r w:rsidRPr="003E02EB">
        <w:rPr>
          <w:rFonts w:ascii="Century Gothic" w:hAnsi="Century Gothic" w:cs="Tahoma"/>
          <w:sz w:val="20"/>
          <w:szCs w:val="20"/>
        </w:rPr>
        <w:t>technique »</w:t>
      </w:r>
    </w:p>
    <w:p w:rsidR="00D70BA7" w:rsidRDefault="00D70BA7" w:rsidP="00BD225B">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00BD225B" w:rsidRPr="003E02EB">
        <w:rPr>
          <w:rFonts w:ascii="Century Gothic" w:hAnsi="Century Gothic" w:cs="Tahoma"/>
          <w:sz w:val="20"/>
          <w:szCs w:val="20"/>
          <w:u w:val="single"/>
        </w:rPr>
        <w:t xml:space="preserve">deuxième </w:t>
      </w:r>
      <w:r w:rsidRPr="003E02EB">
        <w:rPr>
          <w:rFonts w:ascii="Century Gothic" w:hAnsi="Century Gothic" w:cs="Tahoma"/>
          <w:sz w:val="20"/>
          <w:szCs w:val="20"/>
          <w:u w:val="single"/>
        </w:rPr>
        <w:t>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sidR="0057694E">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Les deux (02) enveloppes visées ci-dessus indiquent de manière apparente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le nom et l’adresse du concurrent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l’objet du marché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la date et l’heure de la séance d’ouverture des plis ;</w:t>
      </w:r>
    </w:p>
    <w:p w:rsidR="00BD225B" w:rsidRPr="00826DEA" w:rsidRDefault="00BD225B" w:rsidP="00BD225B">
      <w:pPr>
        <w:ind w:firstLine="708"/>
        <w:jc w:val="both"/>
        <w:rPr>
          <w:rFonts w:ascii="Century Gothic" w:hAnsi="Century Gothic" w:cs="Tahoma"/>
          <w:snapToGrid w:val="0"/>
          <w:color w:val="FF0000"/>
          <w:sz w:val="20"/>
          <w:szCs w:val="20"/>
          <w:lang w:eastAsia="ar-SA"/>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3</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DEPOT DES PLIS DES CONCURRENTS</w:t>
      </w:r>
    </w:p>
    <w:p w:rsidR="00DC62C0" w:rsidRDefault="00DC62C0" w:rsidP="00DC62C0">
      <w:pPr>
        <w:ind w:firstLine="540"/>
        <w:jc w:val="both"/>
        <w:rPr>
          <w:rFonts w:ascii="Century Gothic" w:hAnsi="Century Gothic" w:cs="Tahoma"/>
          <w:sz w:val="20"/>
          <w:szCs w:val="20"/>
        </w:rPr>
      </w:pPr>
      <w:r w:rsidRPr="003E02EB">
        <w:rPr>
          <w:rFonts w:ascii="Century Gothic" w:hAnsi="Century Gothic" w:cs="Tahoma"/>
          <w:snapToGrid w:val="0"/>
          <w:sz w:val="20"/>
          <w:szCs w:val="20"/>
          <w:lang w:eastAsia="ar-SA"/>
        </w:rPr>
        <w:t xml:space="preserve">Conformément aux dispositions de l'article 31 du </w:t>
      </w:r>
      <w:r w:rsidRPr="00B76A92">
        <w:rPr>
          <w:rFonts w:ascii="Century Gothic" w:hAnsi="Century Gothic" w:cs="Tahoma"/>
          <w:snapToGrid w:val="0"/>
          <w:sz w:val="20"/>
          <w:szCs w:val="20"/>
          <w:lang w:eastAsia="ar-SA"/>
        </w:rPr>
        <w:t>décret n° 2-12-349 du 20-03-2013</w:t>
      </w:r>
      <w:r w:rsidRPr="003E02EB">
        <w:rPr>
          <w:rFonts w:ascii="Century Gothic" w:hAnsi="Century Gothic" w:cs="Tahoma"/>
          <w:snapToGrid w:val="0"/>
          <w:sz w:val="20"/>
          <w:szCs w:val="20"/>
          <w:lang w:eastAsia="ar-SA"/>
        </w:rPr>
        <w:t xml:space="preserve">, les </w:t>
      </w:r>
      <w:r w:rsidRPr="003E02EB">
        <w:rPr>
          <w:rFonts w:ascii="Century Gothic" w:hAnsi="Century Gothic" w:cs="Tahoma"/>
          <w:sz w:val="20"/>
          <w:szCs w:val="20"/>
        </w:rPr>
        <w:t>plis sont, au choix du concurrent, soit :</w:t>
      </w:r>
    </w:p>
    <w:p w:rsidR="00B237C2" w:rsidRPr="00B237C2" w:rsidRDefault="00DC62C0" w:rsidP="00DC62C0">
      <w:pPr>
        <w:numPr>
          <w:ilvl w:val="0"/>
          <w:numId w:val="12"/>
        </w:numPr>
        <w:jc w:val="both"/>
        <w:rPr>
          <w:rFonts w:ascii="Century Gothic" w:hAnsi="Century Gothic" w:cs="Tahoma"/>
          <w:b/>
          <w:bCs/>
          <w:color w:val="FF0000"/>
          <w:sz w:val="20"/>
          <w:szCs w:val="20"/>
        </w:rPr>
      </w:pPr>
      <w:r>
        <w:rPr>
          <w:rFonts w:ascii="Century Gothic" w:hAnsi="Century Gothic" w:cs="Tahoma"/>
          <w:sz w:val="20"/>
          <w:szCs w:val="20"/>
        </w:rPr>
        <w:lastRenderedPageBreak/>
        <w:t>Transmis leurs dossiers par voie électronique au portail des marchés publics</w:t>
      </w:r>
      <w:r w:rsidR="00D31830">
        <w:rPr>
          <w:rFonts w:ascii="Century Gothic" w:hAnsi="Century Gothic" w:cs="Tahoma"/>
          <w:sz w:val="20"/>
          <w:szCs w:val="20"/>
        </w:rPr>
        <w:t>.</w:t>
      </w:r>
    </w:p>
    <w:p w:rsidR="00B237C2" w:rsidRPr="00420CB3" w:rsidRDefault="00B237C2" w:rsidP="00B237C2">
      <w:pPr>
        <w:pStyle w:val="Paragraphedeliste"/>
        <w:ind w:left="1065"/>
        <w:jc w:val="both"/>
        <w:rPr>
          <w:rFonts w:ascii="Century Gothic" w:hAnsi="Century Gothic" w:cs="Tahoma"/>
          <w:b/>
          <w:bCs/>
          <w:sz w:val="20"/>
          <w:szCs w:val="20"/>
        </w:rPr>
      </w:pPr>
      <w:r w:rsidRPr="00420CB3">
        <w:rPr>
          <w:rFonts w:ascii="Century Gothic" w:hAnsi="Century Gothic" w:cs="Tahoma"/>
          <w:sz w:val="20"/>
          <w:szCs w:val="20"/>
        </w:rPr>
        <w:t>Pour les entreprises qui ne disposent pas desdits certificats, lesdits pièces et documents peuvent être scannés et déposés électroniquement au niveau du portail marocain des marchés publics</w:t>
      </w:r>
    </w:p>
    <w:p w:rsidR="00DC62C0" w:rsidRPr="003E02EB" w:rsidRDefault="00DC62C0" w:rsidP="00DC62C0">
      <w:pPr>
        <w:numPr>
          <w:ilvl w:val="0"/>
          <w:numId w:val="12"/>
        </w:num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déposés contre récépissé dans le bureau du maître d’ouvrage sis à la Commune de Salé. </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DC62C0" w:rsidRPr="003E02EB" w:rsidRDefault="00DC62C0" w:rsidP="00DC62C0">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DC62C0" w:rsidRPr="003E02EB" w:rsidRDefault="00DC62C0" w:rsidP="00DC62C0">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plis déposés ou reçus postérieurement au jour et à l’heure fixés ne sont pas admis.</w:t>
      </w:r>
    </w:p>
    <w:p w:rsidR="00DC62C0" w:rsidRDefault="00DC62C0" w:rsidP="00DC62C0">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DC62C0" w:rsidRPr="003E02EB" w:rsidRDefault="00DC62C0" w:rsidP="00466467">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 xml:space="preserve">Les plis resteront </w:t>
      </w:r>
      <w:r w:rsidR="00466467">
        <w:rPr>
          <w:rFonts w:ascii="Century Gothic" w:hAnsi="Century Gothic" w:cs="Tahoma"/>
          <w:snapToGrid w:val="0"/>
          <w:sz w:val="20"/>
          <w:szCs w:val="20"/>
          <w:lang w:eastAsia="ar-SA"/>
        </w:rPr>
        <w:t>fermés</w:t>
      </w:r>
      <w:r>
        <w:rPr>
          <w:rFonts w:ascii="Century Gothic" w:hAnsi="Century Gothic" w:cs="Tahoma"/>
          <w:snapToGrid w:val="0"/>
          <w:sz w:val="20"/>
          <w:szCs w:val="20"/>
          <w:lang w:eastAsia="ar-SA"/>
        </w:rPr>
        <w:t xml:space="preserve"> et seront tenus en lieu </w:t>
      </w:r>
      <w:r w:rsidR="00466467">
        <w:rPr>
          <w:rFonts w:ascii="Century Gothic" w:hAnsi="Century Gothic" w:cs="Tahoma"/>
          <w:snapToGrid w:val="0"/>
          <w:sz w:val="20"/>
          <w:szCs w:val="20"/>
          <w:lang w:eastAsia="ar-SA"/>
        </w:rPr>
        <w:t>sûr</w:t>
      </w:r>
      <w:r>
        <w:rPr>
          <w:rFonts w:ascii="Century Gothic" w:hAnsi="Century Gothic" w:cs="Tahoma"/>
          <w:snapToGrid w:val="0"/>
          <w:sz w:val="20"/>
          <w:szCs w:val="20"/>
          <w:lang w:eastAsia="ar-SA"/>
        </w:rPr>
        <w:t xml:space="preserve">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D70BA7" w:rsidRPr="003E02EB" w:rsidRDefault="00D70BA7" w:rsidP="00D70BA7">
      <w:pPr>
        <w:widowControl w:val="0"/>
        <w:jc w:val="both"/>
        <w:rPr>
          <w:rFonts w:ascii="Century Gothic" w:hAnsi="Century Gothic" w:cs="Tahoma"/>
          <w:snapToGrid w:val="0"/>
          <w:sz w:val="20"/>
          <w:szCs w:val="20"/>
        </w:rPr>
      </w:pP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4</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 xml:space="preserve">RETRAIT DES PLIS </w:t>
      </w:r>
    </w:p>
    <w:p w:rsidR="00D70BA7" w:rsidRPr="003E02EB" w:rsidRDefault="00D70BA7" w:rsidP="00D70BA7">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D70BA7">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5</w:t>
      </w:r>
      <w:r w:rsidRPr="003E02EB">
        <w:rPr>
          <w:rFonts w:ascii="Century Gothic" w:hAnsi="Century Gothic" w:cs="Tahoma"/>
          <w:b/>
          <w:bCs/>
          <w:sz w:val="20"/>
          <w:szCs w:val="20"/>
          <w:u w:val="single"/>
        </w:rPr>
        <w:t xml:space="preserve"> : OUVERTURE ET EXAMEN DES OFFRES ET APPRECIATION DES CAPACITES DES</w:t>
      </w: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D70BA7" w:rsidRDefault="00D70BA7" w:rsidP="00D70BA7">
      <w:pPr>
        <w:pStyle w:val="Corpsdetexte"/>
        <w:jc w:val="both"/>
        <w:rPr>
          <w:rFonts w:ascii="Century Gothic" w:hAnsi="Century Gothic" w:cs="Tahoma"/>
          <w:b/>
          <w:bCs/>
          <w:sz w:val="8"/>
          <w:szCs w:val="8"/>
          <w:u w:val="single"/>
        </w:rPr>
      </w:pPr>
    </w:p>
    <w:p w:rsidR="00B237C2" w:rsidRPr="003E02EB" w:rsidRDefault="00B237C2" w:rsidP="00B237C2">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L’ouverture et l’examen des offres et l’appréciation des capacités des soumissionnaires s’effectuent conformément aux disposit</w:t>
      </w:r>
      <w:r>
        <w:rPr>
          <w:rFonts w:ascii="Century Gothic" w:hAnsi="Century Gothic" w:cs="Tahoma"/>
          <w:sz w:val="20"/>
          <w:szCs w:val="20"/>
        </w:rPr>
        <w:t>ions prévues aux articles 36, 37,</w:t>
      </w:r>
      <w:r w:rsidRPr="003E02EB">
        <w:rPr>
          <w:rFonts w:ascii="Century Gothic" w:hAnsi="Century Gothic" w:cs="Tahoma"/>
          <w:sz w:val="20"/>
          <w:szCs w:val="20"/>
        </w:rPr>
        <w:t xml:space="preserve"> 39</w:t>
      </w:r>
      <w:r>
        <w:rPr>
          <w:rFonts w:ascii="Century Gothic" w:hAnsi="Century Gothic" w:cs="Tahoma"/>
          <w:sz w:val="20"/>
          <w:szCs w:val="20"/>
        </w:rPr>
        <w:t xml:space="preserve"> et 40</w:t>
      </w:r>
      <w:r w:rsidRPr="003E02EB">
        <w:rPr>
          <w:rFonts w:ascii="Century Gothic" w:hAnsi="Century Gothic" w:cs="Tahoma"/>
          <w:sz w:val="20"/>
          <w:szCs w:val="20"/>
        </w:rPr>
        <w:t xml:space="preserve"> du </w:t>
      </w:r>
      <w:r w:rsidRPr="00581E44">
        <w:rPr>
          <w:rFonts w:ascii="Century Gothic" w:hAnsi="Century Gothic" w:cs="Tahoma"/>
          <w:sz w:val="20"/>
          <w:szCs w:val="20"/>
        </w:rPr>
        <w:t>décret n° 2-12-349 précité</w:t>
      </w:r>
      <w:r w:rsidRPr="003E02EB">
        <w:rPr>
          <w:rFonts w:ascii="Century Gothic" w:hAnsi="Century Gothic" w:cs="Tahoma"/>
          <w:sz w:val="20"/>
          <w:szCs w:val="20"/>
        </w:rPr>
        <w:t>.</w:t>
      </w:r>
    </w:p>
    <w:p w:rsidR="00B237C2" w:rsidRDefault="00B237C2" w:rsidP="00B237C2">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à partir des informations et indications contenues dans les dossiers administratifs et techniques de chaque concurrent.</w:t>
      </w:r>
    </w:p>
    <w:p w:rsidR="008774D2" w:rsidRPr="00B237C2" w:rsidRDefault="008774D2" w:rsidP="00B237C2">
      <w:pPr>
        <w:spacing w:line="240" w:lineRule="exact"/>
        <w:ind w:firstLine="227"/>
        <w:jc w:val="both"/>
        <w:rPr>
          <w:rFonts w:ascii="Century Gothic" w:hAnsi="Century Gothic" w:cs="Tahoma"/>
          <w:sz w:val="20"/>
          <w:szCs w:val="20"/>
        </w:rPr>
      </w:pPr>
    </w:p>
    <w:p w:rsidR="008774D2" w:rsidRPr="003E02EB" w:rsidRDefault="008774D2" w:rsidP="008774D2">
      <w:pPr>
        <w:autoSpaceDE w:val="0"/>
        <w:autoSpaceDN w:val="0"/>
        <w:adjustRightInd w:val="0"/>
        <w:spacing w:line="240" w:lineRule="exact"/>
        <w:jc w:val="both"/>
        <w:rPr>
          <w:rFonts w:ascii="Century Gothic" w:hAnsi="Century Gothic"/>
        </w:rPr>
      </w:pPr>
      <w:r>
        <w:rPr>
          <w:rFonts w:ascii="Century Gothic" w:hAnsi="Century Gothic" w:cs="Tahoma"/>
          <w:b/>
          <w:bCs/>
          <w:sz w:val="20"/>
          <w:szCs w:val="20"/>
          <w:u w:val="single"/>
        </w:rPr>
        <w:t>ARTICLE 16</w:t>
      </w:r>
      <w:r w:rsidRPr="003E02EB">
        <w:rPr>
          <w:rFonts w:ascii="Century Gothic" w:hAnsi="Century Gothic" w:cs="Tahoma"/>
          <w:b/>
          <w:bCs/>
          <w:sz w:val="20"/>
          <w:szCs w:val="20"/>
          <w:u w:val="single"/>
        </w:rPr>
        <w:t xml:space="preserve"> : EXAMEN DES OFFRES FINANCIERES</w:t>
      </w:r>
    </w:p>
    <w:p w:rsidR="008774D2" w:rsidRPr="003E02EB" w:rsidRDefault="008774D2" w:rsidP="008774D2">
      <w:pPr>
        <w:pStyle w:val="Corpsdetexte"/>
        <w:ind w:firstLine="708"/>
        <w:rPr>
          <w:rFonts w:ascii="Century Gothic" w:hAnsi="Century Gothic" w:cs="Tahoma"/>
          <w:sz w:val="20"/>
          <w:szCs w:val="20"/>
        </w:rPr>
      </w:pPr>
      <w:r w:rsidRPr="003E02EB">
        <w:rPr>
          <w:rFonts w:ascii="Century Gothic" w:hAnsi="Century Gothic" w:cs="Tahoma"/>
          <w:sz w:val="20"/>
          <w:szCs w:val="20"/>
        </w:rPr>
        <w:t xml:space="preserve">Conformément aux dispositions des articles 40 et 41 du  décret n° 2-12-349 précité, l'examen des offres financières concerne les seuls candidats admis à l’issue de l’examen de leurs dossiers administratifs, techniques, et additifs le cas échéant. </w:t>
      </w:r>
    </w:p>
    <w:p w:rsidR="008774D2" w:rsidRDefault="008774D2" w:rsidP="008774D2">
      <w:pPr>
        <w:pStyle w:val="Corpsdetexte"/>
        <w:rPr>
          <w:rFonts w:ascii="Century Gothic" w:hAnsi="Century Gothic" w:cs="Tahoma"/>
          <w:b/>
          <w:bCs/>
          <w:sz w:val="20"/>
          <w:szCs w:val="20"/>
        </w:rPr>
      </w:pPr>
      <w:r w:rsidRPr="003E02EB">
        <w:rPr>
          <w:rFonts w:ascii="Century Gothic" w:hAnsi="Century Gothic" w:cs="Tahoma"/>
          <w:b/>
          <w:bCs/>
          <w:sz w:val="20"/>
          <w:szCs w:val="20"/>
        </w:rPr>
        <w:t xml:space="preserve">Le marché sera attribué au concurrent  dont l’offre financière est la moins disante. </w:t>
      </w:r>
    </w:p>
    <w:p w:rsidR="00B237C2" w:rsidRPr="00B237C2" w:rsidRDefault="00B237C2" w:rsidP="00B237C2"/>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8774D2">
        <w:rPr>
          <w:rFonts w:ascii="Century Gothic" w:hAnsi="Century Gothic" w:cs="Tahoma"/>
          <w:b/>
          <w:bCs/>
          <w:smallCaps/>
          <w:sz w:val="20"/>
          <w:szCs w:val="20"/>
          <w:u w:val="single"/>
        </w:rPr>
        <w:t>7</w:t>
      </w:r>
      <w:r w:rsidRPr="003E02EB">
        <w:rPr>
          <w:rFonts w:ascii="Century Gothic" w:hAnsi="Century Gothic" w:cs="Tahoma"/>
          <w:b/>
          <w:bCs/>
          <w:smallCaps/>
          <w:sz w:val="20"/>
          <w:szCs w:val="20"/>
          <w:u w:val="single"/>
        </w:rPr>
        <w:t xml:space="preserve"> : </w:t>
      </w:r>
      <w:r w:rsidRPr="00A816A9">
        <w:rPr>
          <w:rFonts w:ascii="Century Gothic" w:hAnsi="Century Gothic" w:cs="Tahoma"/>
          <w:b/>
          <w:bCs/>
          <w:smallCaps/>
          <w:u w:val="single"/>
        </w:rPr>
        <w:t>Délai de validité des offres</w:t>
      </w:r>
    </w:p>
    <w:p w:rsidR="00D70BA7" w:rsidRPr="003E02EB" w:rsidRDefault="007E2E33" w:rsidP="007E2E33">
      <w:pPr>
        <w:widowControl w:val="0"/>
        <w:ind w:firstLine="708"/>
        <w:jc w:val="both"/>
        <w:rPr>
          <w:rFonts w:ascii="Century Gothic" w:hAnsi="Century Gothic" w:cs="Tahoma"/>
          <w:snapToGrid w:val="0"/>
          <w:sz w:val="20"/>
          <w:szCs w:val="20"/>
        </w:rPr>
      </w:pPr>
      <w:r w:rsidRPr="003E02EB">
        <w:rPr>
          <w:rFonts w:ascii="Century Gothic" w:hAnsi="Century Gothic" w:cs="Tahoma"/>
          <w:bCs/>
          <w:iCs/>
          <w:sz w:val="20"/>
          <w:szCs w:val="20"/>
        </w:rPr>
        <w:t>Conformément aux dispositions de</w:t>
      </w:r>
      <w:r>
        <w:rPr>
          <w:rFonts w:ascii="Century Gothic" w:hAnsi="Century Gothic" w:cs="Tahoma"/>
          <w:bCs/>
          <w:iCs/>
          <w:sz w:val="20"/>
          <w:szCs w:val="20"/>
        </w:rPr>
        <w:t>s</w:t>
      </w:r>
      <w:r w:rsidRPr="003E02EB">
        <w:rPr>
          <w:rFonts w:ascii="Century Gothic" w:hAnsi="Century Gothic" w:cs="Tahoma"/>
          <w:bCs/>
          <w:iCs/>
          <w:sz w:val="20"/>
          <w:szCs w:val="20"/>
        </w:rPr>
        <w:t xml:space="preserve"> article</w:t>
      </w:r>
      <w:r>
        <w:rPr>
          <w:rFonts w:ascii="Century Gothic" w:hAnsi="Century Gothic" w:cs="Tahoma"/>
          <w:bCs/>
          <w:iCs/>
          <w:sz w:val="20"/>
          <w:szCs w:val="20"/>
        </w:rPr>
        <w:t>s 33 et 153</w:t>
      </w:r>
      <w:r>
        <w:rPr>
          <w:rFonts w:ascii="Century Gothic" w:hAnsi="Century Gothic" w:cs="Tahoma"/>
          <w:sz w:val="20"/>
          <w:szCs w:val="20"/>
        </w:rPr>
        <w:t xml:space="preserve">du </w:t>
      </w:r>
      <w:r w:rsidRPr="003E02EB">
        <w:rPr>
          <w:rFonts w:ascii="Century Gothic" w:hAnsi="Century Gothic" w:cs="Tahoma"/>
          <w:sz w:val="20"/>
          <w:szCs w:val="20"/>
        </w:rPr>
        <w:t xml:space="preserve">décret n° 2-12-349 </w:t>
      </w:r>
      <w:r w:rsidR="0088769C" w:rsidRPr="003E02EB">
        <w:rPr>
          <w:rFonts w:ascii="Century Gothic" w:hAnsi="Century Gothic" w:cs="Tahoma"/>
          <w:sz w:val="20"/>
          <w:szCs w:val="20"/>
        </w:rPr>
        <w:t>précité</w:t>
      </w:r>
      <w:r w:rsidR="0088769C">
        <w:rPr>
          <w:rFonts w:ascii="Century Gothic" w:hAnsi="Century Gothic" w:cs="Tahoma"/>
          <w:sz w:val="20"/>
          <w:szCs w:val="20"/>
        </w:rPr>
        <w:t>,</w:t>
      </w:r>
      <w:r w:rsidR="0088769C" w:rsidRPr="003E02EB">
        <w:rPr>
          <w:rFonts w:ascii="Century Gothic" w:hAnsi="Century Gothic" w:cs="Tahoma"/>
          <w:snapToGrid w:val="0"/>
          <w:sz w:val="20"/>
          <w:szCs w:val="20"/>
        </w:rPr>
        <w:t>les</w:t>
      </w:r>
      <w:r w:rsidR="00D70BA7" w:rsidRPr="003E02EB">
        <w:rPr>
          <w:rFonts w:ascii="Century Gothic" w:hAnsi="Century Gothic" w:cs="Tahoma"/>
          <w:snapToGrid w:val="0"/>
          <w:sz w:val="20"/>
          <w:szCs w:val="20"/>
        </w:rPr>
        <w:t xml:space="preserve"> concurrents restent engagés par leurs offres pendant un délai de </w:t>
      </w:r>
      <w:r w:rsidR="004E4B9D" w:rsidRPr="003E02EB">
        <w:rPr>
          <w:rFonts w:ascii="Century Gothic" w:hAnsi="Century Gothic" w:cs="Tahoma"/>
          <w:snapToGrid w:val="0"/>
          <w:sz w:val="20"/>
          <w:szCs w:val="20"/>
        </w:rPr>
        <w:t>soixante-quinze</w:t>
      </w:r>
      <w:r w:rsidR="00D70BA7" w:rsidRPr="003E02EB">
        <w:rPr>
          <w:rFonts w:ascii="Century Gothic" w:hAnsi="Century Gothic" w:cs="Tahoma"/>
          <w:snapToGrid w:val="0"/>
          <w:sz w:val="20"/>
          <w:szCs w:val="20"/>
        </w:rPr>
        <w:t xml:space="preserve"> (75) jours, à compter de la date d’ouverture des plis.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 xml:space="preserve">Si dans ce délai, le choix de l’attributaire ne peut être arrêté, le maître d’ouvrage pourra demander aux concurrents, par lettre recommandée avec </w:t>
      </w:r>
      <w:r w:rsidR="002C1C31" w:rsidRPr="003E02EB">
        <w:rPr>
          <w:rFonts w:ascii="Century Gothic" w:hAnsi="Century Gothic" w:cs="Tahoma"/>
          <w:sz w:val="20"/>
          <w:szCs w:val="20"/>
        </w:rPr>
        <w:t>accusé</w:t>
      </w:r>
      <w:r w:rsidRPr="003E02EB">
        <w:rPr>
          <w:rFonts w:ascii="Century Gothic" w:hAnsi="Century Gothic" w:cs="Tahoma"/>
          <w:sz w:val="20"/>
          <w:szCs w:val="20"/>
        </w:rPr>
        <w:t xml:space="preserve"> de réception avant l’expiration de ce délai, de prolonger la validité de leurs offres. Seuls les soumissionnaires qui auront donné leur accord par lettre recommandée avec accusé de réception adressée au maître d’ouvrage resteront engagés pendant le nouveau délai.</w:t>
      </w:r>
    </w:p>
    <w:p w:rsidR="00D70BA7" w:rsidRPr="003E02EB" w:rsidRDefault="00D70BA7" w:rsidP="007E2E33">
      <w:pPr>
        <w:pStyle w:val="Corpsdetexte"/>
        <w:spacing w:line="360" w:lineRule="auto"/>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w:t>
      </w:r>
      <w:r w:rsidR="008774D2">
        <w:rPr>
          <w:rFonts w:ascii="Century Gothic" w:hAnsi="Century Gothic" w:cs="Tahoma"/>
          <w:b/>
          <w:bCs/>
          <w:sz w:val="20"/>
          <w:szCs w:val="20"/>
          <w:u w:val="single"/>
        </w:rPr>
        <w:t>18</w:t>
      </w:r>
      <w:r w:rsidRPr="003E02EB">
        <w:rPr>
          <w:rFonts w:ascii="Century Gothic" w:hAnsi="Century Gothic" w:cs="Tahoma"/>
          <w:b/>
          <w:bCs/>
          <w:sz w:val="20"/>
          <w:szCs w:val="20"/>
          <w:u w:val="single"/>
        </w:rPr>
        <w:t xml:space="preserve"> : MONNAIE DE FORMULATION DES OFFRES </w:t>
      </w:r>
    </w:p>
    <w:p w:rsidR="00D70BA7" w:rsidRPr="003E02EB" w:rsidRDefault="00D70BA7" w:rsidP="00D70BA7">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Conformément aux dispositions de l’article 18 paragraphe 3  du décret n° 2-12-349 précité, le dirham  est la monnaie dans </w:t>
      </w:r>
      <w:r w:rsidR="00004062" w:rsidRPr="003E02EB">
        <w:rPr>
          <w:rFonts w:ascii="Century Gothic" w:hAnsi="Century Gothic" w:cs="Tahoma"/>
          <w:bCs/>
          <w:iCs/>
          <w:sz w:val="20"/>
          <w:szCs w:val="20"/>
        </w:rPr>
        <w:t>laquelle</w:t>
      </w:r>
      <w:r w:rsidRPr="003E02EB">
        <w:rPr>
          <w:rFonts w:ascii="Century Gothic" w:hAnsi="Century Gothic" w:cs="Tahoma"/>
          <w:bCs/>
          <w:iCs/>
          <w:sz w:val="20"/>
          <w:szCs w:val="20"/>
        </w:rPr>
        <w:t xml:space="preserve"> doivent être exprimés les prix des offres présentées par les soumissionnaires.</w:t>
      </w:r>
    </w:p>
    <w:p w:rsidR="00D70BA7" w:rsidRPr="003E02EB" w:rsidRDefault="00D70BA7" w:rsidP="00D70BA7">
      <w:pPr>
        <w:pStyle w:val="Corpsdetexte"/>
        <w:rPr>
          <w:rFonts w:ascii="Century Gothic" w:hAnsi="Century Gothic" w:cs="Tahoma"/>
          <w:bCs/>
          <w:iCs/>
          <w:sz w:val="8"/>
          <w:szCs w:val="8"/>
        </w:rPr>
      </w:pPr>
    </w:p>
    <w:p w:rsidR="00225CAC" w:rsidRPr="00DD5C05" w:rsidRDefault="00D70BA7" w:rsidP="00DD5C05">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Lorsque le concurrent n’est pas installé au Maroc, son offre doit être </w:t>
      </w:r>
      <w:bookmarkStart w:id="0" w:name="_GoBack"/>
      <w:bookmarkEnd w:id="0"/>
      <w:r w:rsidR="00420CB3">
        <w:rPr>
          <w:rFonts w:ascii="Century Gothic" w:hAnsi="Century Gothic" w:cs="Tahoma"/>
          <w:bCs/>
          <w:iCs/>
          <w:sz w:val="20"/>
          <w:szCs w:val="20"/>
        </w:rPr>
        <w:t>exprimée</w:t>
      </w:r>
      <w:r w:rsidRPr="003E02EB">
        <w:rPr>
          <w:rFonts w:ascii="Century Gothic" w:hAnsi="Century Gothic" w:cs="Tahoma"/>
          <w:bCs/>
          <w:iCs/>
          <w:sz w:val="20"/>
          <w:szCs w:val="20"/>
        </w:rPr>
        <w:t xml:space="preserve"> en monnaie étrangère </w:t>
      </w:r>
      <w:r w:rsidR="00004062" w:rsidRPr="003E02EB">
        <w:rPr>
          <w:rFonts w:ascii="Century Gothic" w:hAnsi="Century Gothic" w:cs="Tahoma"/>
          <w:bCs/>
          <w:iCs/>
          <w:sz w:val="20"/>
          <w:szCs w:val="20"/>
        </w:rPr>
        <w:t>convertible. Dans</w:t>
      </w:r>
      <w:r w:rsidRPr="003E02EB">
        <w:rPr>
          <w:rFonts w:ascii="Century Gothic" w:hAnsi="Century Gothic" w:cs="Tahoma"/>
          <w:bCs/>
          <w:iCs/>
          <w:sz w:val="20"/>
          <w:szCs w:val="20"/>
        </w:rPr>
        <w:t xml:space="preserve"> ce cas, pour être évaluées et comparées, les montants des offres exprimées en monnaie étrangère doivent être convertis en dirham. Cette conversion doit s’effectuer sur la base du cours vendeur du dirham en vigueur le premier jour ouvrable de la semaine précédant celle du jour d’ouverture des plis donné par Bank Al-Maghreb.  </w:t>
      </w:r>
    </w:p>
    <w:p w:rsidR="00D70BA7" w:rsidRPr="003E02EB" w:rsidRDefault="00D70BA7" w:rsidP="00D70BA7">
      <w:pPr>
        <w:pStyle w:val="Corpsdetexte"/>
        <w:jc w:val="both"/>
        <w:rPr>
          <w:rFonts w:ascii="Century Gothic" w:hAnsi="Century Gothic" w:cs="Tahoma"/>
          <w:b/>
          <w:bCs/>
          <w:sz w:val="8"/>
          <w:szCs w:val="8"/>
          <w:u w:val="single"/>
        </w:rPr>
      </w:pPr>
    </w:p>
    <w:p w:rsidR="00D70BA7" w:rsidRDefault="008774D2" w:rsidP="007E2E33">
      <w:pPr>
        <w:pStyle w:val="Corpsdetexte"/>
        <w:spacing w:line="360" w:lineRule="auto"/>
        <w:jc w:val="both"/>
        <w:rPr>
          <w:rFonts w:ascii="Century Gothic" w:hAnsi="Century Gothic" w:cs="Tahoma"/>
          <w:b/>
          <w:bCs/>
          <w:sz w:val="20"/>
          <w:szCs w:val="20"/>
          <w:u w:val="single"/>
        </w:rPr>
      </w:pPr>
      <w:r>
        <w:rPr>
          <w:rFonts w:ascii="Century Gothic" w:hAnsi="Century Gothic" w:cs="Tahoma"/>
          <w:b/>
          <w:bCs/>
          <w:sz w:val="20"/>
          <w:szCs w:val="20"/>
          <w:u w:val="single"/>
        </w:rPr>
        <w:t>ARTICLE 19</w:t>
      </w:r>
      <w:r w:rsidR="00D70BA7" w:rsidRPr="003E02EB">
        <w:rPr>
          <w:rFonts w:ascii="Century Gothic" w:hAnsi="Century Gothic" w:cs="Tahoma"/>
          <w:b/>
          <w:bCs/>
          <w:sz w:val="20"/>
          <w:szCs w:val="20"/>
          <w:u w:val="single"/>
        </w:rPr>
        <w:t xml:space="preserve"> : LANGUE D’ETABLISSEMENT DES PIECES ET DES OFFRES </w:t>
      </w:r>
    </w:p>
    <w:p w:rsidR="006B65E1" w:rsidRDefault="006B65E1" w:rsidP="006B65E1"/>
    <w:p w:rsidR="006B65E1" w:rsidRDefault="006B65E1" w:rsidP="006B65E1"/>
    <w:p w:rsidR="006B65E1" w:rsidRDefault="006B65E1" w:rsidP="006B65E1">
      <w:r>
        <w:rPr>
          <w:noProof/>
        </w:rPr>
        <w:drawing>
          <wp:inline distT="0" distB="0" distL="0" distR="0">
            <wp:extent cx="6743700" cy="8817084"/>
            <wp:effectExtent l="1905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6743700" cy="8817084"/>
                    </a:xfrm>
                    <a:prstGeom prst="rect">
                      <a:avLst/>
                    </a:prstGeom>
                    <a:noFill/>
                    <a:ln w="9525">
                      <a:noFill/>
                      <a:miter lim="800000"/>
                      <a:headEnd/>
                      <a:tailEnd/>
                    </a:ln>
                  </pic:spPr>
                </pic:pic>
              </a:graphicData>
            </a:graphic>
          </wp:inline>
        </w:drawing>
      </w:r>
    </w:p>
    <w:sectPr w:rsidR="006B65E1" w:rsidSect="00AF4F27">
      <w:footerReference w:type="even" r:id="rId10"/>
      <w:footerReference w:type="default" r:id="rId11"/>
      <w:pgSz w:w="11906" w:h="16838"/>
      <w:pgMar w:top="709" w:right="566" w:bottom="1135" w:left="720"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E213F" w:rsidRDefault="004E213F">
      <w:r>
        <w:separator/>
      </w:r>
    </w:p>
  </w:endnote>
  <w:endnote w:type="continuationSeparator" w:id="1">
    <w:p w:rsidR="004E213F" w:rsidRDefault="004E213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2A2DEA" w:rsidP="000063AF">
    <w:pPr>
      <w:pStyle w:val="Pieddepage"/>
      <w:framePr w:wrap="around" w:vAnchor="text" w:hAnchor="margin" w:xAlign="right" w:y="1"/>
      <w:rPr>
        <w:rStyle w:val="Numrodepage"/>
      </w:rPr>
    </w:pPr>
    <w:r>
      <w:rPr>
        <w:rStyle w:val="Numrodepage"/>
      </w:rPr>
      <w:fldChar w:fldCharType="begin"/>
    </w:r>
    <w:r w:rsidR="00423807">
      <w:rPr>
        <w:rStyle w:val="Numrodepage"/>
      </w:rPr>
      <w:instrText>PAGE</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50658C" w:rsidP="00AF60D8">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2A2DEA">
      <w:fldChar w:fldCharType="begin"/>
    </w:r>
    <w:r w:rsidR="00423807">
      <w:instrText>PAGE</w:instrText>
    </w:r>
    <w:r w:rsidR="008036A6">
      <w:instrText xml:space="preserve">   \* MERGEFORMAT </w:instrText>
    </w:r>
    <w:r w:rsidR="002A2DEA">
      <w:fldChar w:fldCharType="separate"/>
    </w:r>
    <w:r w:rsidR="006B65E1" w:rsidRPr="006B65E1">
      <w:rPr>
        <w:rFonts w:ascii="Cambria" w:hAnsi="Cambria"/>
        <w:noProof/>
      </w:rPr>
      <w:t>7</w:t>
    </w:r>
    <w:r w:rsidR="002A2DEA">
      <w:fldChar w:fldCharType="end"/>
    </w:r>
  </w:p>
  <w:p w:rsidR="001F01B3" w:rsidRPr="00703F4A" w:rsidRDefault="0047379C" w:rsidP="001F01B3">
    <w:pPr>
      <w:jc w:val="center"/>
      <w:rPr>
        <w:b/>
        <w:bCs/>
        <w:sz w:val="28"/>
        <w:szCs w:val="28"/>
      </w:rPr>
    </w:pPr>
    <w:r w:rsidRPr="005F7A9E">
      <w:rPr>
        <w:rFonts w:ascii="Arial" w:hAnsi="Arial" w:cs="Arial"/>
        <w:sz w:val="18"/>
        <w:szCs w:val="18"/>
      </w:rPr>
      <w:t xml:space="preserve">R.C – </w:t>
    </w:r>
    <w:r w:rsidR="001F01B3" w:rsidRPr="001F01B3">
      <w:rPr>
        <w:b/>
        <w:bCs/>
        <w:sz w:val="16"/>
        <w:szCs w:val="16"/>
      </w:rPr>
      <w:t>TRAVAUX D’AMENAGEMENT DES QUARTIERS SOUS EQUIPES -AVENUE ALI BEN ABI TALIB)</w:t>
    </w:r>
  </w:p>
  <w:p w:rsidR="005F7A9E" w:rsidRPr="005F7A9E" w:rsidRDefault="005F7A9E" w:rsidP="001F01B3">
    <w:pPr>
      <w:jc w:val="center"/>
      <w:rPr>
        <w:b/>
        <w:bCs/>
        <w:sz w:val="18"/>
        <w:szCs w:val="18"/>
      </w:rPr>
    </w:pPr>
  </w:p>
  <w:p w:rsidR="0050658C" w:rsidRDefault="0050658C" w:rsidP="005F7A9E">
    <w:pPr>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E213F" w:rsidRDefault="004E213F">
      <w:r>
        <w:separator/>
      </w:r>
    </w:p>
  </w:footnote>
  <w:footnote w:type="continuationSeparator" w:id="1">
    <w:p w:rsidR="004E213F" w:rsidRDefault="004E213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1D6AC6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5">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8">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9">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0">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40A7503"/>
    <w:multiLevelType w:val="hybridMultilevel"/>
    <w:tmpl w:val="74544D86"/>
    <w:lvl w:ilvl="0" w:tplc="040C0001">
      <w:start w:val="1"/>
      <w:numFmt w:val="bullet"/>
      <w:lvlText w:val=""/>
      <w:lvlJc w:val="left"/>
      <w:pPr>
        <w:ind w:left="1200" w:hanging="360"/>
      </w:pPr>
      <w:rPr>
        <w:rFonts w:ascii="Symbol" w:hAnsi="Symbol" w:hint="default"/>
      </w:rPr>
    </w:lvl>
    <w:lvl w:ilvl="1" w:tplc="040C0003" w:tentative="1">
      <w:start w:val="1"/>
      <w:numFmt w:val="bullet"/>
      <w:lvlText w:val="o"/>
      <w:lvlJc w:val="left"/>
      <w:pPr>
        <w:ind w:left="1920" w:hanging="360"/>
      </w:pPr>
      <w:rPr>
        <w:rFonts w:ascii="Courier New" w:hAnsi="Courier New" w:cs="Courier New" w:hint="default"/>
      </w:rPr>
    </w:lvl>
    <w:lvl w:ilvl="2" w:tplc="040C0005" w:tentative="1">
      <w:start w:val="1"/>
      <w:numFmt w:val="bullet"/>
      <w:lvlText w:val=""/>
      <w:lvlJc w:val="left"/>
      <w:pPr>
        <w:ind w:left="2640" w:hanging="360"/>
      </w:pPr>
      <w:rPr>
        <w:rFonts w:ascii="Wingdings" w:hAnsi="Wingdings" w:hint="default"/>
      </w:rPr>
    </w:lvl>
    <w:lvl w:ilvl="3" w:tplc="040C0001" w:tentative="1">
      <w:start w:val="1"/>
      <w:numFmt w:val="bullet"/>
      <w:lvlText w:val=""/>
      <w:lvlJc w:val="left"/>
      <w:pPr>
        <w:ind w:left="3360" w:hanging="360"/>
      </w:pPr>
      <w:rPr>
        <w:rFonts w:ascii="Symbol" w:hAnsi="Symbol" w:hint="default"/>
      </w:rPr>
    </w:lvl>
    <w:lvl w:ilvl="4" w:tplc="040C0003" w:tentative="1">
      <w:start w:val="1"/>
      <w:numFmt w:val="bullet"/>
      <w:lvlText w:val="o"/>
      <w:lvlJc w:val="left"/>
      <w:pPr>
        <w:ind w:left="4080" w:hanging="360"/>
      </w:pPr>
      <w:rPr>
        <w:rFonts w:ascii="Courier New" w:hAnsi="Courier New" w:cs="Courier New" w:hint="default"/>
      </w:rPr>
    </w:lvl>
    <w:lvl w:ilvl="5" w:tplc="040C0005" w:tentative="1">
      <w:start w:val="1"/>
      <w:numFmt w:val="bullet"/>
      <w:lvlText w:val=""/>
      <w:lvlJc w:val="left"/>
      <w:pPr>
        <w:ind w:left="4800" w:hanging="360"/>
      </w:pPr>
      <w:rPr>
        <w:rFonts w:ascii="Wingdings" w:hAnsi="Wingdings" w:hint="default"/>
      </w:rPr>
    </w:lvl>
    <w:lvl w:ilvl="6" w:tplc="040C0001" w:tentative="1">
      <w:start w:val="1"/>
      <w:numFmt w:val="bullet"/>
      <w:lvlText w:val=""/>
      <w:lvlJc w:val="left"/>
      <w:pPr>
        <w:ind w:left="5520" w:hanging="360"/>
      </w:pPr>
      <w:rPr>
        <w:rFonts w:ascii="Symbol" w:hAnsi="Symbol" w:hint="default"/>
      </w:rPr>
    </w:lvl>
    <w:lvl w:ilvl="7" w:tplc="040C0003" w:tentative="1">
      <w:start w:val="1"/>
      <w:numFmt w:val="bullet"/>
      <w:lvlText w:val="o"/>
      <w:lvlJc w:val="left"/>
      <w:pPr>
        <w:ind w:left="6240" w:hanging="360"/>
      </w:pPr>
      <w:rPr>
        <w:rFonts w:ascii="Courier New" w:hAnsi="Courier New" w:cs="Courier New" w:hint="default"/>
      </w:rPr>
    </w:lvl>
    <w:lvl w:ilvl="8" w:tplc="040C0005" w:tentative="1">
      <w:start w:val="1"/>
      <w:numFmt w:val="bullet"/>
      <w:lvlText w:val=""/>
      <w:lvlJc w:val="left"/>
      <w:pPr>
        <w:ind w:left="6960" w:hanging="360"/>
      </w:pPr>
      <w:rPr>
        <w:rFonts w:ascii="Wingdings" w:hAnsi="Wingdings" w:hint="default"/>
      </w:rPr>
    </w:lvl>
  </w:abstractNum>
  <w:abstractNum w:abstractNumId="12">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3">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4">
    <w:nsid w:val="50CB3120"/>
    <w:multiLevelType w:val="hybridMultilevel"/>
    <w:tmpl w:val="453444FA"/>
    <w:lvl w:ilvl="0" w:tplc="D8B2E1E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nsid w:val="5F5B6403"/>
    <w:multiLevelType w:val="hybridMultilevel"/>
    <w:tmpl w:val="100A9A1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6">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7">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abstractNum w:abstractNumId="20">
    <w:nsid w:val="70F95A01"/>
    <w:multiLevelType w:val="hybridMultilevel"/>
    <w:tmpl w:val="29060EB4"/>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num w:numId="1">
    <w:abstractNumId w:val="7"/>
  </w:num>
  <w:num w:numId="2">
    <w:abstractNumId w:val="12"/>
  </w:num>
  <w:num w:numId="3">
    <w:abstractNumId w:val="18"/>
  </w:num>
  <w:num w:numId="4">
    <w:abstractNumId w:val="17"/>
  </w:num>
  <w:num w:numId="5">
    <w:abstractNumId w:val="5"/>
  </w:num>
  <w:num w:numId="6">
    <w:abstractNumId w:val="13"/>
  </w:num>
  <w:num w:numId="7">
    <w:abstractNumId w:val="16"/>
  </w:num>
  <w:num w:numId="8">
    <w:abstractNumId w:val="4"/>
  </w:num>
  <w:num w:numId="9">
    <w:abstractNumId w:val="3"/>
  </w:num>
  <w:num w:numId="10">
    <w:abstractNumId w:val="14"/>
  </w:num>
  <w:num w:numId="11">
    <w:abstractNumId w:val="6"/>
  </w:num>
  <w:num w:numId="12">
    <w:abstractNumId w:val="8"/>
  </w:num>
  <w:num w:numId="13">
    <w:abstractNumId w:val="9"/>
  </w:num>
  <w:num w:numId="14">
    <w:abstractNumId w:val="19"/>
  </w:num>
  <w:num w:numId="15">
    <w:abstractNumId w:val="2"/>
  </w:num>
  <w:num w:numId="16">
    <w:abstractNumId w:val="1"/>
  </w:num>
  <w:num w:numId="17">
    <w:abstractNumId w:val="10"/>
  </w:num>
  <w:num w:numId="18">
    <w:abstractNumId w:val="11"/>
  </w:num>
  <w:num w:numId="19">
    <w:abstractNumId w:val="0"/>
  </w:num>
  <w:num w:numId="20">
    <w:abstractNumId w:val="15"/>
  </w:num>
  <w:num w:numId="21">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stylePaneFormatFilter w:val="3F01"/>
  <w:defaultTabStop w:val="708"/>
  <w:hyphenationZone w:val="425"/>
  <w:characterSpacingControl w:val="doNotCompress"/>
  <w:footnotePr>
    <w:footnote w:id="0"/>
    <w:footnote w:id="1"/>
  </w:footnotePr>
  <w:endnotePr>
    <w:endnote w:id="0"/>
    <w:endnote w:id="1"/>
  </w:endnotePr>
  <w:compat/>
  <w:rsids>
    <w:rsidRoot w:val="00D20427"/>
    <w:rsid w:val="0000131C"/>
    <w:rsid w:val="00004062"/>
    <w:rsid w:val="000063AF"/>
    <w:rsid w:val="00007D26"/>
    <w:rsid w:val="00013D30"/>
    <w:rsid w:val="00016908"/>
    <w:rsid w:val="00023477"/>
    <w:rsid w:val="00026E26"/>
    <w:rsid w:val="00033357"/>
    <w:rsid w:val="00033823"/>
    <w:rsid w:val="00036698"/>
    <w:rsid w:val="00037965"/>
    <w:rsid w:val="00050832"/>
    <w:rsid w:val="00050A6F"/>
    <w:rsid w:val="00051F89"/>
    <w:rsid w:val="000620E1"/>
    <w:rsid w:val="00062B8C"/>
    <w:rsid w:val="00070AE4"/>
    <w:rsid w:val="00085832"/>
    <w:rsid w:val="00087BD6"/>
    <w:rsid w:val="00094AAE"/>
    <w:rsid w:val="000965CE"/>
    <w:rsid w:val="00096F8F"/>
    <w:rsid w:val="000A0824"/>
    <w:rsid w:val="000A2091"/>
    <w:rsid w:val="000B0633"/>
    <w:rsid w:val="000C3C64"/>
    <w:rsid w:val="000D39DF"/>
    <w:rsid w:val="000D586E"/>
    <w:rsid w:val="000E193A"/>
    <w:rsid w:val="000E26EF"/>
    <w:rsid w:val="000E4CBF"/>
    <w:rsid w:val="000E5F1E"/>
    <w:rsid w:val="000F5FAF"/>
    <w:rsid w:val="00106C87"/>
    <w:rsid w:val="00115515"/>
    <w:rsid w:val="00120C7B"/>
    <w:rsid w:val="001250BF"/>
    <w:rsid w:val="00126DC2"/>
    <w:rsid w:val="00132634"/>
    <w:rsid w:val="00132637"/>
    <w:rsid w:val="00137452"/>
    <w:rsid w:val="00144516"/>
    <w:rsid w:val="00144B8C"/>
    <w:rsid w:val="00144ECC"/>
    <w:rsid w:val="00155520"/>
    <w:rsid w:val="00160560"/>
    <w:rsid w:val="001647D3"/>
    <w:rsid w:val="00165AEA"/>
    <w:rsid w:val="001815D5"/>
    <w:rsid w:val="00182D68"/>
    <w:rsid w:val="00182FC5"/>
    <w:rsid w:val="00183C75"/>
    <w:rsid w:val="001843E8"/>
    <w:rsid w:val="00184657"/>
    <w:rsid w:val="001859ED"/>
    <w:rsid w:val="00186484"/>
    <w:rsid w:val="00193016"/>
    <w:rsid w:val="001A681B"/>
    <w:rsid w:val="001B0A5A"/>
    <w:rsid w:val="001B5924"/>
    <w:rsid w:val="001B5FA4"/>
    <w:rsid w:val="001D0F9B"/>
    <w:rsid w:val="001E1D01"/>
    <w:rsid w:val="001E2768"/>
    <w:rsid w:val="001E28D4"/>
    <w:rsid w:val="001F01B3"/>
    <w:rsid w:val="001F1DC9"/>
    <w:rsid w:val="001F2A81"/>
    <w:rsid w:val="001F2F77"/>
    <w:rsid w:val="001F325F"/>
    <w:rsid w:val="00203B4E"/>
    <w:rsid w:val="00204872"/>
    <w:rsid w:val="00221CC9"/>
    <w:rsid w:val="00222E71"/>
    <w:rsid w:val="00225CAC"/>
    <w:rsid w:val="00232FC2"/>
    <w:rsid w:val="00233AA5"/>
    <w:rsid w:val="00235C06"/>
    <w:rsid w:val="00236F3D"/>
    <w:rsid w:val="0024261B"/>
    <w:rsid w:val="002463CE"/>
    <w:rsid w:val="00255978"/>
    <w:rsid w:val="00262BE8"/>
    <w:rsid w:val="002742DC"/>
    <w:rsid w:val="00281CCD"/>
    <w:rsid w:val="002835E9"/>
    <w:rsid w:val="00292F7A"/>
    <w:rsid w:val="002A26B3"/>
    <w:rsid w:val="002A2DEA"/>
    <w:rsid w:val="002A7024"/>
    <w:rsid w:val="002B74F2"/>
    <w:rsid w:val="002C1C31"/>
    <w:rsid w:val="002C3E20"/>
    <w:rsid w:val="002D21C1"/>
    <w:rsid w:val="002E3A56"/>
    <w:rsid w:val="002F0EB1"/>
    <w:rsid w:val="002F17EB"/>
    <w:rsid w:val="00301B4A"/>
    <w:rsid w:val="0031474D"/>
    <w:rsid w:val="00326E81"/>
    <w:rsid w:val="00327F51"/>
    <w:rsid w:val="0033538A"/>
    <w:rsid w:val="00335D50"/>
    <w:rsid w:val="0035315A"/>
    <w:rsid w:val="00355A1C"/>
    <w:rsid w:val="003724A0"/>
    <w:rsid w:val="00376450"/>
    <w:rsid w:val="00390D00"/>
    <w:rsid w:val="003A2EA2"/>
    <w:rsid w:val="003A65A3"/>
    <w:rsid w:val="003A66A8"/>
    <w:rsid w:val="003A6C24"/>
    <w:rsid w:val="003B29AF"/>
    <w:rsid w:val="003C03FE"/>
    <w:rsid w:val="003C4CF2"/>
    <w:rsid w:val="003D4C6A"/>
    <w:rsid w:val="003E02EB"/>
    <w:rsid w:val="003F0468"/>
    <w:rsid w:val="003F4912"/>
    <w:rsid w:val="00405DE4"/>
    <w:rsid w:val="00420CB3"/>
    <w:rsid w:val="004222E7"/>
    <w:rsid w:val="00423807"/>
    <w:rsid w:val="0043380B"/>
    <w:rsid w:val="004356CE"/>
    <w:rsid w:val="004525F6"/>
    <w:rsid w:val="00455868"/>
    <w:rsid w:val="00460553"/>
    <w:rsid w:val="00462313"/>
    <w:rsid w:val="00466467"/>
    <w:rsid w:val="00473504"/>
    <w:rsid w:val="0047379C"/>
    <w:rsid w:val="00476AB2"/>
    <w:rsid w:val="00485701"/>
    <w:rsid w:val="00492571"/>
    <w:rsid w:val="0049308E"/>
    <w:rsid w:val="00496622"/>
    <w:rsid w:val="004A1C9D"/>
    <w:rsid w:val="004A40FB"/>
    <w:rsid w:val="004A7D4B"/>
    <w:rsid w:val="004B4C75"/>
    <w:rsid w:val="004B4D14"/>
    <w:rsid w:val="004C03A0"/>
    <w:rsid w:val="004D0E17"/>
    <w:rsid w:val="004D4AE8"/>
    <w:rsid w:val="004E213F"/>
    <w:rsid w:val="004E21EE"/>
    <w:rsid w:val="004E4B9D"/>
    <w:rsid w:val="004E69E6"/>
    <w:rsid w:val="004F45D9"/>
    <w:rsid w:val="00503730"/>
    <w:rsid w:val="0050658C"/>
    <w:rsid w:val="00513987"/>
    <w:rsid w:val="005236D4"/>
    <w:rsid w:val="00533F46"/>
    <w:rsid w:val="00535957"/>
    <w:rsid w:val="00537A99"/>
    <w:rsid w:val="00542342"/>
    <w:rsid w:val="0054760A"/>
    <w:rsid w:val="00553698"/>
    <w:rsid w:val="00560DB9"/>
    <w:rsid w:val="005620C2"/>
    <w:rsid w:val="0056220F"/>
    <w:rsid w:val="00566FAB"/>
    <w:rsid w:val="00570727"/>
    <w:rsid w:val="00575002"/>
    <w:rsid w:val="0057694E"/>
    <w:rsid w:val="00580605"/>
    <w:rsid w:val="00582315"/>
    <w:rsid w:val="00584B0B"/>
    <w:rsid w:val="00590C6E"/>
    <w:rsid w:val="00591DCB"/>
    <w:rsid w:val="00592904"/>
    <w:rsid w:val="00595DC4"/>
    <w:rsid w:val="005A1554"/>
    <w:rsid w:val="005B00B5"/>
    <w:rsid w:val="005B3465"/>
    <w:rsid w:val="005B5348"/>
    <w:rsid w:val="005C77F4"/>
    <w:rsid w:val="005C7DA1"/>
    <w:rsid w:val="005D192F"/>
    <w:rsid w:val="005D4025"/>
    <w:rsid w:val="005D66B2"/>
    <w:rsid w:val="005E135E"/>
    <w:rsid w:val="005F4D99"/>
    <w:rsid w:val="005F7A9E"/>
    <w:rsid w:val="00604C28"/>
    <w:rsid w:val="00612776"/>
    <w:rsid w:val="00613D6D"/>
    <w:rsid w:val="00615482"/>
    <w:rsid w:val="00616EB0"/>
    <w:rsid w:val="00625045"/>
    <w:rsid w:val="00634A4F"/>
    <w:rsid w:val="00637D90"/>
    <w:rsid w:val="00643C41"/>
    <w:rsid w:val="00646F32"/>
    <w:rsid w:val="00656960"/>
    <w:rsid w:val="006715D0"/>
    <w:rsid w:val="00683DAF"/>
    <w:rsid w:val="006846C7"/>
    <w:rsid w:val="00685869"/>
    <w:rsid w:val="006903A2"/>
    <w:rsid w:val="006A017A"/>
    <w:rsid w:val="006A197C"/>
    <w:rsid w:val="006B00A6"/>
    <w:rsid w:val="006B1677"/>
    <w:rsid w:val="006B1B44"/>
    <w:rsid w:val="006B2A5D"/>
    <w:rsid w:val="006B3428"/>
    <w:rsid w:val="006B4A7A"/>
    <w:rsid w:val="006B65E1"/>
    <w:rsid w:val="006C5122"/>
    <w:rsid w:val="006D00EB"/>
    <w:rsid w:val="006D0702"/>
    <w:rsid w:val="006D4E1B"/>
    <w:rsid w:val="006D590A"/>
    <w:rsid w:val="006E70C1"/>
    <w:rsid w:val="006F32DE"/>
    <w:rsid w:val="006F3C45"/>
    <w:rsid w:val="0070399C"/>
    <w:rsid w:val="00710CD2"/>
    <w:rsid w:val="00716DBA"/>
    <w:rsid w:val="00720424"/>
    <w:rsid w:val="00720659"/>
    <w:rsid w:val="00723357"/>
    <w:rsid w:val="007239B5"/>
    <w:rsid w:val="00732ACC"/>
    <w:rsid w:val="00745114"/>
    <w:rsid w:val="00756981"/>
    <w:rsid w:val="00766002"/>
    <w:rsid w:val="00773074"/>
    <w:rsid w:val="00774164"/>
    <w:rsid w:val="007742B3"/>
    <w:rsid w:val="0077568A"/>
    <w:rsid w:val="00777AB3"/>
    <w:rsid w:val="00794E2A"/>
    <w:rsid w:val="007A3F3B"/>
    <w:rsid w:val="007B0092"/>
    <w:rsid w:val="007B206D"/>
    <w:rsid w:val="007B421F"/>
    <w:rsid w:val="007D28E2"/>
    <w:rsid w:val="007D7225"/>
    <w:rsid w:val="007E2176"/>
    <w:rsid w:val="007E2E33"/>
    <w:rsid w:val="007E6F72"/>
    <w:rsid w:val="007F2309"/>
    <w:rsid w:val="007F3869"/>
    <w:rsid w:val="007F4EAF"/>
    <w:rsid w:val="007F6311"/>
    <w:rsid w:val="008036A6"/>
    <w:rsid w:val="0080655D"/>
    <w:rsid w:val="008108FD"/>
    <w:rsid w:val="008132F8"/>
    <w:rsid w:val="00826DEA"/>
    <w:rsid w:val="00850994"/>
    <w:rsid w:val="00853DF4"/>
    <w:rsid w:val="00856E9C"/>
    <w:rsid w:val="00861684"/>
    <w:rsid w:val="00863F58"/>
    <w:rsid w:val="008742D1"/>
    <w:rsid w:val="008774D2"/>
    <w:rsid w:val="008800BB"/>
    <w:rsid w:val="00887516"/>
    <w:rsid w:val="0088769C"/>
    <w:rsid w:val="00887DE6"/>
    <w:rsid w:val="00895135"/>
    <w:rsid w:val="008A273C"/>
    <w:rsid w:val="008A3283"/>
    <w:rsid w:val="008C02C1"/>
    <w:rsid w:val="008C0E59"/>
    <w:rsid w:val="008C1877"/>
    <w:rsid w:val="008D5551"/>
    <w:rsid w:val="008D63CE"/>
    <w:rsid w:val="008D73CF"/>
    <w:rsid w:val="008E13FB"/>
    <w:rsid w:val="008E320E"/>
    <w:rsid w:val="008E3D6E"/>
    <w:rsid w:val="009068EF"/>
    <w:rsid w:val="00910C68"/>
    <w:rsid w:val="00913CAF"/>
    <w:rsid w:val="00917B6B"/>
    <w:rsid w:val="00940AFB"/>
    <w:rsid w:val="00944A01"/>
    <w:rsid w:val="00945D1D"/>
    <w:rsid w:val="00947C12"/>
    <w:rsid w:val="009511B3"/>
    <w:rsid w:val="00954B8A"/>
    <w:rsid w:val="00956D50"/>
    <w:rsid w:val="00960267"/>
    <w:rsid w:val="0096167D"/>
    <w:rsid w:val="00962902"/>
    <w:rsid w:val="009661D4"/>
    <w:rsid w:val="00974CC2"/>
    <w:rsid w:val="009858FB"/>
    <w:rsid w:val="00994FC6"/>
    <w:rsid w:val="0099544C"/>
    <w:rsid w:val="009964D4"/>
    <w:rsid w:val="009A11FF"/>
    <w:rsid w:val="009A27F4"/>
    <w:rsid w:val="009B79F6"/>
    <w:rsid w:val="009C0776"/>
    <w:rsid w:val="009D6EE0"/>
    <w:rsid w:val="009E31CB"/>
    <w:rsid w:val="009E408C"/>
    <w:rsid w:val="009E676E"/>
    <w:rsid w:val="009E7188"/>
    <w:rsid w:val="00A04732"/>
    <w:rsid w:val="00A0743A"/>
    <w:rsid w:val="00A15DA2"/>
    <w:rsid w:val="00A16FB3"/>
    <w:rsid w:val="00A21372"/>
    <w:rsid w:val="00A22A83"/>
    <w:rsid w:val="00A3247C"/>
    <w:rsid w:val="00A50F41"/>
    <w:rsid w:val="00A557B1"/>
    <w:rsid w:val="00A67A38"/>
    <w:rsid w:val="00A809EF"/>
    <w:rsid w:val="00A816A9"/>
    <w:rsid w:val="00A877C0"/>
    <w:rsid w:val="00A87EB2"/>
    <w:rsid w:val="00A9380F"/>
    <w:rsid w:val="00A93B5E"/>
    <w:rsid w:val="00AB1EC1"/>
    <w:rsid w:val="00AB293A"/>
    <w:rsid w:val="00AD19A3"/>
    <w:rsid w:val="00AD738A"/>
    <w:rsid w:val="00AE121D"/>
    <w:rsid w:val="00AE170E"/>
    <w:rsid w:val="00AE5EA5"/>
    <w:rsid w:val="00AF0C00"/>
    <w:rsid w:val="00AF144B"/>
    <w:rsid w:val="00AF4F27"/>
    <w:rsid w:val="00AF60D8"/>
    <w:rsid w:val="00B00049"/>
    <w:rsid w:val="00B038AA"/>
    <w:rsid w:val="00B117A3"/>
    <w:rsid w:val="00B237C2"/>
    <w:rsid w:val="00B25CAC"/>
    <w:rsid w:val="00B46A03"/>
    <w:rsid w:val="00B53072"/>
    <w:rsid w:val="00B5445B"/>
    <w:rsid w:val="00B55F0E"/>
    <w:rsid w:val="00B63E24"/>
    <w:rsid w:val="00B64D05"/>
    <w:rsid w:val="00B80DDA"/>
    <w:rsid w:val="00B8192A"/>
    <w:rsid w:val="00BB03BD"/>
    <w:rsid w:val="00BB1DE0"/>
    <w:rsid w:val="00BB579D"/>
    <w:rsid w:val="00BC6A25"/>
    <w:rsid w:val="00BD225B"/>
    <w:rsid w:val="00BD5107"/>
    <w:rsid w:val="00BE3198"/>
    <w:rsid w:val="00BF3BA0"/>
    <w:rsid w:val="00BF4FE1"/>
    <w:rsid w:val="00C00450"/>
    <w:rsid w:val="00C03186"/>
    <w:rsid w:val="00C074FE"/>
    <w:rsid w:val="00C105D8"/>
    <w:rsid w:val="00C113D7"/>
    <w:rsid w:val="00C11657"/>
    <w:rsid w:val="00C11CB1"/>
    <w:rsid w:val="00C16754"/>
    <w:rsid w:val="00C336B3"/>
    <w:rsid w:val="00C354A9"/>
    <w:rsid w:val="00C36EFC"/>
    <w:rsid w:val="00C440DE"/>
    <w:rsid w:val="00C567DB"/>
    <w:rsid w:val="00C73DED"/>
    <w:rsid w:val="00C745F8"/>
    <w:rsid w:val="00C908AD"/>
    <w:rsid w:val="00CA15AC"/>
    <w:rsid w:val="00CB203A"/>
    <w:rsid w:val="00CC7471"/>
    <w:rsid w:val="00CD04A3"/>
    <w:rsid w:val="00CD069B"/>
    <w:rsid w:val="00CD18B8"/>
    <w:rsid w:val="00CD2F77"/>
    <w:rsid w:val="00CD625B"/>
    <w:rsid w:val="00CF593C"/>
    <w:rsid w:val="00CF79D4"/>
    <w:rsid w:val="00D000EE"/>
    <w:rsid w:val="00D05738"/>
    <w:rsid w:val="00D05E43"/>
    <w:rsid w:val="00D070CA"/>
    <w:rsid w:val="00D14748"/>
    <w:rsid w:val="00D20427"/>
    <w:rsid w:val="00D31830"/>
    <w:rsid w:val="00D43DFD"/>
    <w:rsid w:val="00D50A03"/>
    <w:rsid w:val="00D632C1"/>
    <w:rsid w:val="00D635FD"/>
    <w:rsid w:val="00D70BA7"/>
    <w:rsid w:val="00D77049"/>
    <w:rsid w:val="00D80724"/>
    <w:rsid w:val="00D81FAC"/>
    <w:rsid w:val="00D83EB9"/>
    <w:rsid w:val="00D84F33"/>
    <w:rsid w:val="00DB7656"/>
    <w:rsid w:val="00DC1D1A"/>
    <w:rsid w:val="00DC62C0"/>
    <w:rsid w:val="00DC6FC5"/>
    <w:rsid w:val="00DD0D87"/>
    <w:rsid w:val="00DD21A1"/>
    <w:rsid w:val="00DD5C05"/>
    <w:rsid w:val="00DE60FE"/>
    <w:rsid w:val="00DF77FF"/>
    <w:rsid w:val="00E13006"/>
    <w:rsid w:val="00E165BF"/>
    <w:rsid w:val="00E21AAA"/>
    <w:rsid w:val="00E46B21"/>
    <w:rsid w:val="00E6769F"/>
    <w:rsid w:val="00E72D93"/>
    <w:rsid w:val="00E769A8"/>
    <w:rsid w:val="00E80ECA"/>
    <w:rsid w:val="00E852BB"/>
    <w:rsid w:val="00E90867"/>
    <w:rsid w:val="00E96642"/>
    <w:rsid w:val="00EA1261"/>
    <w:rsid w:val="00EA1E35"/>
    <w:rsid w:val="00EA2EF0"/>
    <w:rsid w:val="00EE252B"/>
    <w:rsid w:val="00EE4754"/>
    <w:rsid w:val="00EF0A18"/>
    <w:rsid w:val="00EF0B9A"/>
    <w:rsid w:val="00EF208E"/>
    <w:rsid w:val="00EF442F"/>
    <w:rsid w:val="00EF5290"/>
    <w:rsid w:val="00F05B06"/>
    <w:rsid w:val="00F220FF"/>
    <w:rsid w:val="00F2752B"/>
    <w:rsid w:val="00F30551"/>
    <w:rsid w:val="00F46E7D"/>
    <w:rsid w:val="00F47737"/>
    <w:rsid w:val="00F47E90"/>
    <w:rsid w:val="00F47EB3"/>
    <w:rsid w:val="00F56200"/>
    <w:rsid w:val="00F6169B"/>
    <w:rsid w:val="00F65192"/>
    <w:rsid w:val="00F66AFA"/>
    <w:rsid w:val="00F75276"/>
    <w:rsid w:val="00F75958"/>
    <w:rsid w:val="00FB080D"/>
    <w:rsid w:val="00FB449E"/>
    <w:rsid w:val="00FB7A59"/>
    <w:rsid w:val="00FC110C"/>
    <w:rsid w:val="00FC3072"/>
    <w:rsid w:val="00FC6180"/>
    <w:rsid w:val="00FC723F"/>
    <w:rsid w:val="00FD507D"/>
    <w:rsid w:val="00FE014A"/>
    <w:rsid w:val="00FE1269"/>
    <w:rsid w:val="00FE1649"/>
    <w:rsid w:val="00FE3C60"/>
    <w:rsid w:val="00FE7CFC"/>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table" w:styleId="Grilledutableau">
    <w:name w:val="Table Grid"/>
    <w:basedOn w:val="TableauNormal"/>
    <w:uiPriority w:val="59"/>
    <w:rsid w:val="009964D4"/>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agraphedeliste">
    <w:name w:val="List Paragraph"/>
    <w:basedOn w:val="Normal"/>
    <w:uiPriority w:val="34"/>
    <w:qFormat/>
    <w:rsid w:val="005622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48582689">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48565757">
      <w:bodyDiv w:val="1"/>
      <w:marLeft w:val="0"/>
      <w:marRight w:val="0"/>
      <w:marTop w:val="0"/>
      <w:marBottom w:val="0"/>
      <w:divBdr>
        <w:top w:val="none" w:sz="0" w:space="0" w:color="auto"/>
        <w:left w:val="none" w:sz="0" w:space="0" w:color="auto"/>
        <w:bottom w:val="none" w:sz="0" w:space="0" w:color="auto"/>
        <w:right w:val="none" w:sz="0" w:space="0" w:color="auto"/>
      </w:divBdr>
    </w:div>
    <w:div w:id="1579442136">
      <w:bodyDiv w:val="1"/>
      <w:marLeft w:val="0"/>
      <w:marRight w:val="0"/>
      <w:marTop w:val="0"/>
      <w:marBottom w:val="0"/>
      <w:divBdr>
        <w:top w:val="none" w:sz="0" w:space="0" w:color="auto"/>
        <w:left w:val="none" w:sz="0" w:space="0" w:color="auto"/>
        <w:bottom w:val="none" w:sz="0" w:space="0" w:color="auto"/>
        <w:right w:val="none" w:sz="0" w:space="0" w:color="auto"/>
      </w:divBdr>
    </w:div>
    <w:div w:id="1839493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rchespublics.gov.ma"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 Id="rId14" Type="http://schemas.microsoft.com/office/2007/relationships/stylesWithEffects" Target="stylesWithEffect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1026</TotalTime>
  <Pages>7</Pages>
  <Words>2638</Words>
  <Characters>14510</Characters>
  <Application>Microsoft Office Word</Application>
  <DocSecurity>0</DocSecurity>
  <Lines>120</Lines>
  <Paragraphs>34</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17114</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60</cp:revision>
  <cp:lastPrinted>2021-02-22T11:01:00Z</cp:lastPrinted>
  <dcterms:created xsi:type="dcterms:W3CDTF">2019-08-26T09:55:00Z</dcterms:created>
  <dcterms:modified xsi:type="dcterms:W3CDTF">2021-03-04T09:54:00Z</dcterms:modified>
</cp:coreProperties>
</file>